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68DCC" w14:textId="7F6732D4" w:rsidR="00D52A39" w:rsidRDefault="00D52A39" w:rsidP="00D52A39">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#120bis</w:t>
      </w:r>
      <w:r>
        <w:rPr>
          <w:rFonts w:cs="Arial"/>
          <w:sz w:val="22"/>
        </w:rPr>
        <w:tab/>
        <w:t>R1-250</w:t>
      </w:r>
      <w:r w:rsidRPr="008A1447">
        <w:rPr>
          <w:rFonts w:cs="Arial"/>
          <w:sz w:val="22"/>
        </w:rPr>
        <w:t>1</w:t>
      </w:r>
      <w:r w:rsidR="00E46DC5">
        <w:rPr>
          <w:rFonts w:cs="Arial"/>
          <w:sz w:val="22"/>
        </w:rPr>
        <w:t>944</w:t>
      </w:r>
    </w:p>
    <w:p w14:paraId="73CD2D83" w14:textId="70151018" w:rsidR="0062472D" w:rsidRPr="00D52A39" w:rsidRDefault="00D52A39" w:rsidP="00D52A39">
      <w:pPr>
        <w:tabs>
          <w:tab w:val="center" w:pos="4536"/>
          <w:tab w:val="right" w:pos="9072"/>
        </w:tabs>
        <w:ind w:left="0"/>
        <w:rPr>
          <w:rFonts w:ascii="Arial" w:eastAsia="MS Mincho" w:hAnsi="Arial" w:cs="Arial"/>
          <w:b/>
          <w:bCs/>
          <w:sz w:val="22"/>
          <w:lang w:eastAsia="ja-JP"/>
        </w:rPr>
      </w:pPr>
      <w:r w:rsidRPr="001B4435">
        <w:rPr>
          <w:rFonts w:ascii="Arial" w:eastAsia="MS Mincho" w:hAnsi="Arial" w:cs="Arial"/>
          <w:b/>
          <w:bCs/>
          <w:sz w:val="22"/>
          <w:lang w:eastAsia="ja-JP"/>
        </w:rPr>
        <w:t xml:space="preserve">Wuhan, China, </w:t>
      </w:r>
      <w:r w:rsidRPr="001B4435">
        <w:rPr>
          <w:rFonts w:ascii="Arial" w:eastAsia="Malgun Gothic" w:hAnsi="Arial" w:cs="Arial"/>
          <w:b/>
          <w:bCs/>
          <w:sz w:val="22"/>
          <w:lang w:eastAsia="ko-KR"/>
        </w:rPr>
        <w:t xml:space="preserve">April </w:t>
      </w:r>
      <w:r w:rsidRPr="001B4435">
        <w:rPr>
          <w:rFonts w:ascii="Arial" w:eastAsia="MS Mincho" w:hAnsi="Arial" w:cs="Arial"/>
          <w:b/>
          <w:bCs/>
          <w:sz w:val="22"/>
          <w:lang w:eastAsia="ja-JP"/>
        </w:rPr>
        <w:t>7</w:t>
      </w:r>
      <w:r w:rsidRPr="001B4435">
        <w:rPr>
          <w:rFonts w:ascii="Arial" w:eastAsia="Malgun Gothic" w:hAnsi="Arial" w:cs="Arial"/>
          <w:b/>
          <w:bCs/>
          <w:sz w:val="22"/>
          <w:vertAlign w:val="superscript"/>
          <w:lang w:eastAsia="ko-KR"/>
        </w:rPr>
        <w:t>th</w:t>
      </w:r>
      <w:r w:rsidRPr="001B4435">
        <w:rPr>
          <w:rFonts w:ascii="Arial" w:eastAsia="MS Mincho" w:hAnsi="Arial" w:cs="Arial"/>
          <w:b/>
          <w:bCs/>
          <w:sz w:val="22"/>
          <w:lang w:eastAsia="ja-JP"/>
        </w:rPr>
        <w:t xml:space="preserve"> </w:t>
      </w:r>
      <w:r w:rsidRPr="001B4435">
        <w:rPr>
          <w:rFonts w:ascii="Arial" w:hAnsi="Arial" w:cs="Arial"/>
          <w:b/>
          <w:bCs/>
          <w:sz w:val="22"/>
        </w:rPr>
        <w:t>– 11</w:t>
      </w:r>
      <w:r w:rsidRPr="001B4435">
        <w:rPr>
          <w:rFonts w:ascii="Arial" w:hAnsi="Arial" w:cs="Arial"/>
          <w:b/>
          <w:bCs/>
          <w:sz w:val="22"/>
          <w:vertAlign w:val="superscript"/>
        </w:rPr>
        <w:t>th</w:t>
      </w:r>
      <w:r w:rsidRPr="001B4435">
        <w:rPr>
          <w:rFonts w:ascii="Arial" w:eastAsia="MS Mincho" w:hAnsi="Arial" w:cs="Arial"/>
          <w:b/>
          <w:bCs/>
          <w:sz w:val="22"/>
          <w:lang w:eastAsia="ja-JP"/>
        </w:rPr>
        <w:t>, 2025</w:t>
      </w:r>
    </w:p>
    <w:p w14:paraId="281A9E2E" w14:textId="77777777" w:rsidR="0033686A" w:rsidRPr="0062472D" w:rsidRDefault="0033686A">
      <w:pPr>
        <w:pStyle w:val="3GPPHeader"/>
        <w:tabs>
          <w:tab w:val="clear" w:pos="1800"/>
          <w:tab w:val="left" w:pos="1580"/>
        </w:tabs>
        <w:snapToGrid w:val="0"/>
        <w:ind w:left="0"/>
        <w:rPr>
          <w:rFonts w:cs="Arial"/>
          <w:bCs/>
        </w:rPr>
      </w:pPr>
    </w:p>
    <w:p w14:paraId="20331C9C" w14:textId="44E45702" w:rsidR="0033686A" w:rsidRDefault="00792793">
      <w:pPr>
        <w:pStyle w:val="3GPPHeader"/>
        <w:tabs>
          <w:tab w:val="clear" w:pos="1800"/>
          <w:tab w:val="left" w:pos="1580"/>
        </w:tabs>
        <w:snapToGrid w:val="0"/>
        <w:ind w:left="0"/>
        <w:rPr>
          <w:rFonts w:cs="Arial"/>
          <w:sz w:val="22"/>
        </w:rPr>
      </w:pPr>
      <w:r>
        <w:rPr>
          <w:rFonts w:cs="Arial"/>
          <w:sz w:val="22"/>
        </w:rPr>
        <w:t>Source:</w:t>
      </w:r>
      <w:r>
        <w:rPr>
          <w:rFonts w:cs="Arial"/>
          <w:sz w:val="22"/>
        </w:rPr>
        <w:tab/>
      </w:r>
      <w:r w:rsidR="00D52A39">
        <w:rPr>
          <w:rFonts w:cs="Arial"/>
          <w:sz w:val="22"/>
        </w:rPr>
        <w:t>ZTE Corporation, Sanechips</w:t>
      </w:r>
    </w:p>
    <w:p w14:paraId="63DD549A" w14:textId="4B2ECFF7" w:rsidR="0033686A" w:rsidRDefault="00792793">
      <w:pPr>
        <w:pStyle w:val="3GPPHeader"/>
        <w:tabs>
          <w:tab w:val="clear" w:pos="1800"/>
          <w:tab w:val="left" w:pos="1580"/>
        </w:tabs>
        <w:snapToGrid w:val="0"/>
        <w:ind w:left="0"/>
        <w:rPr>
          <w:rFonts w:cs="Arial"/>
          <w:sz w:val="22"/>
        </w:rPr>
      </w:pPr>
      <w:r>
        <w:rPr>
          <w:rFonts w:cs="Arial"/>
          <w:sz w:val="22"/>
        </w:rPr>
        <w:t>Title:</w:t>
      </w:r>
      <w:r>
        <w:rPr>
          <w:rFonts w:cs="Arial"/>
          <w:sz w:val="22"/>
        </w:rPr>
        <w:tab/>
      </w:r>
      <w:r w:rsidR="00EC2F3A" w:rsidRPr="00EC2F3A">
        <w:rPr>
          <w:rFonts w:cs="Arial"/>
          <w:sz w:val="22"/>
        </w:rPr>
        <w:t>Discussion on the UE feature for IoT-NTN TDD</w:t>
      </w:r>
    </w:p>
    <w:p w14:paraId="3D03802C" w14:textId="64445F40" w:rsidR="0033686A" w:rsidRDefault="00792793">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D52A39">
        <w:rPr>
          <w:rFonts w:cs="Arial"/>
          <w:sz w:val="22"/>
        </w:rPr>
        <w:t>9.15.</w:t>
      </w:r>
      <w:r w:rsidR="00EC2F3A">
        <w:rPr>
          <w:rFonts w:cs="Arial"/>
          <w:sz w:val="22"/>
        </w:rPr>
        <w:t>10</w:t>
      </w:r>
    </w:p>
    <w:p w14:paraId="4A58E4DC" w14:textId="2FD342AE" w:rsidR="0033686A" w:rsidRPr="00BA53C1" w:rsidRDefault="00792793">
      <w:pPr>
        <w:pBdr>
          <w:bottom w:val="single" w:sz="6" w:space="1" w:color="auto"/>
        </w:pBdr>
        <w:snapToGrid w:val="0"/>
        <w:ind w:left="0"/>
        <w:rPr>
          <w:rFonts w:ascii="Arial" w:hAnsi="Arial" w:cs="Arial"/>
          <w:b/>
          <w:sz w:val="22"/>
          <w:szCs w:val="28"/>
        </w:rPr>
      </w:pPr>
      <w:r w:rsidRPr="00BA53C1">
        <w:rPr>
          <w:rFonts w:ascii="Arial" w:hAnsi="Arial" w:cs="Arial"/>
          <w:b/>
          <w:sz w:val="22"/>
          <w:szCs w:val="28"/>
        </w:rPr>
        <w:t>Document for: Discussion</w:t>
      </w:r>
    </w:p>
    <w:p w14:paraId="4F50B3B2"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101C5A5B" w14:textId="27F6E91A" w:rsidR="00D52A39" w:rsidRPr="00D52A39" w:rsidRDefault="00D52A39" w:rsidP="00D52A39">
      <w:pPr>
        <w:spacing w:beforeLines="50" w:before="120" w:afterLines="50" w:after="120"/>
        <w:ind w:left="0"/>
        <w:rPr>
          <w:rFonts w:eastAsia="宋体"/>
          <w:szCs w:val="20"/>
          <w:lang w:eastAsia="zh-CN"/>
        </w:rPr>
      </w:pPr>
      <w:bookmarkStart w:id="3" w:name="_Ref54269283"/>
      <w:r w:rsidRPr="00D52A39">
        <w:rPr>
          <w:rFonts w:eastAsia="宋体" w:hint="eastAsia"/>
          <w:szCs w:val="20"/>
          <w:lang w:eastAsia="zh-CN"/>
        </w:rPr>
        <w:t xml:space="preserve">In this contribution, the layer-1 UE features for </w:t>
      </w:r>
      <w:r w:rsidR="00EC2F3A">
        <w:rPr>
          <w:rFonts w:eastAsia="宋体"/>
          <w:szCs w:val="20"/>
          <w:lang w:eastAsia="zh-CN"/>
        </w:rPr>
        <w:t>IoT</w:t>
      </w:r>
      <w:r w:rsidRPr="00D52A39">
        <w:rPr>
          <w:rFonts w:eastAsia="宋体"/>
          <w:szCs w:val="20"/>
          <w:lang w:eastAsia="zh-CN"/>
        </w:rPr>
        <w:t>-NTN</w:t>
      </w:r>
      <w:r w:rsidR="00EC2F3A">
        <w:rPr>
          <w:rFonts w:eastAsia="宋体"/>
          <w:szCs w:val="20"/>
          <w:lang w:eastAsia="zh-CN"/>
        </w:rPr>
        <w:t xml:space="preserve"> TDD mode</w:t>
      </w:r>
      <w:r w:rsidRPr="00D52A39">
        <w:rPr>
          <w:rFonts w:eastAsia="宋体" w:hint="eastAsia"/>
          <w:szCs w:val="20"/>
          <w:lang w:eastAsia="zh-CN"/>
        </w:rPr>
        <w:t xml:space="preserve"> are discussed</w:t>
      </w:r>
      <w:r w:rsidRPr="00D52A39">
        <w:rPr>
          <w:rFonts w:eastAsia="宋体"/>
          <w:szCs w:val="20"/>
          <w:lang w:eastAsia="zh-CN"/>
        </w:rPr>
        <w:t xml:space="preserve"> </w:t>
      </w:r>
      <w:r w:rsidRPr="00D52A39">
        <w:rPr>
          <w:rFonts w:eastAsia="宋体" w:hint="eastAsia"/>
          <w:szCs w:val="20"/>
          <w:lang w:eastAsia="zh-CN"/>
        </w:rPr>
        <w:t>based</w:t>
      </w:r>
      <w:r w:rsidRPr="00D52A39">
        <w:rPr>
          <w:rFonts w:eastAsia="宋体"/>
          <w:szCs w:val="20"/>
          <w:lang w:eastAsia="zh-CN"/>
        </w:rPr>
        <w:t xml:space="preserve"> on current agreements</w:t>
      </w:r>
      <w:r w:rsidRPr="00D52A39">
        <w:rPr>
          <w:rFonts w:eastAsia="宋体" w:hint="eastAsia"/>
          <w:szCs w:val="20"/>
          <w:lang w:eastAsia="zh-CN"/>
        </w:rPr>
        <w:t>.</w:t>
      </w:r>
    </w:p>
    <w:p w14:paraId="412D99A5" w14:textId="517BF3BB"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UE feature for </w:t>
      </w:r>
      <w:r w:rsidR="0020158B" w:rsidRPr="0020158B">
        <w:rPr>
          <w:rFonts w:eastAsia="黑体" w:cs="Times New Roman"/>
          <w:b/>
          <w:bCs/>
          <w:sz w:val="28"/>
          <w:szCs w:val="30"/>
          <w:lang w:val="en-US"/>
        </w:rPr>
        <w:t>IoT-NTN TDD</w:t>
      </w:r>
    </w:p>
    <w:p w14:paraId="71921608" w14:textId="421DBE23" w:rsidR="00EC2F3A" w:rsidRDefault="00D52A39" w:rsidP="00D52A39">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w:t>
      </w:r>
      <w:r w:rsidR="00EC2F3A" w:rsidRPr="00EC2F3A">
        <w:rPr>
          <w:rFonts w:eastAsiaTheme="minorEastAsia"/>
          <w:szCs w:val="20"/>
          <w:lang w:eastAsia="zh-CN"/>
        </w:rPr>
        <w:t>a new NB-IoT TDD NTN mode based on minimum necessary changes to the NB-IoT NTN FDD frame structure and procedures</w:t>
      </w:r>
      <w:r w:rsidR="00EC2F3A">
        <w:rPr>
          <w:rFonts w:eastAsiaTheme="minorEastAsia"/>
          <w:szCs w:val="20"/>
          <w:lang w:eastAsia="zh-CN"/>
        </w:rPr>
        <w:t xml:space="preserve"> was discussed.</w:t>
      </w:r>
    </w:p>
    <w:p w14:paraId="7BFF5E87" w14:textId="7BA0C2CE" w:rsidR="0012663D" w:rsidRDefault="00D52A39" w:rsidP="00D52A39">
      <w:pPr>
        <w:spacing w:before="120" w:after="120" w:line="240" w:lineRule="auto"/>
        <w:ind w:left="0"/>
        <w:rPr>
          <w:rFonts w:eastAsiaTheme="minorEastAsia"/>
          <w:szCs w:val="20"/>
          <w:lang w:eastAsia="zh-CN"/>
        </w:rPr>
      </w:pPr>
      <w:r>
        <w:rPr>
          <w:rFonts w:eastAsiaTheme="minorEastAsia"/>
          <w:szCs w:val="20"/>
          <w:lang w:eastAsia="zh-CN"/>
        </w:rPr>
        <w:t xml:space="preserve">For </w:t>
      </w:r>
      <w:r w:rsidR="0020158B">
        <w:rPr>
          <w:rFonts w:eastAsiaTheme="minorEastAsia"/>
          <w:szCs w:val="20"/>
          <w:lang w:eastAsia="zh-CN"/>
        </w:rPr>
        <w:t>IoT-NTN TDD mode</w:t>
      </w:r>
      <w:r>
        <w:rPr>
          <w:rFonts w:eastAsiaTheme="minorEastAsia"/>
          <w:szCs w:val="20"/>
          <w:lang w:eastAsia="zh-CN"/>
        </w:rPr>
        <w:t>, agreement</w:t>
      </w:r>
      <w:r w:rsidR="0020158B">
        <w:rPr>
          <w:rFonts w:eastAsiaTheme="minorEastAsia"/>
          <w:szCs w:val="20"/>
          <w:lang w:eastAsia="zh-CN"/>
        </w:rPr>
        <w:t>s</w:t>
      </w:r>
      <w:r>
        <w:rPr>
          <w:rFonts w:eastAsiaTheme="minorEastAsia"/>
          <w:szCs w:val="20"/>
          <w:lang w:eastAsia="zh-CN"/>
        </w:rPr>
        <w:t xml:space="preserve"> </w:t>
      </w:r>
      <w:r w:rsidR="0020158B">
        <w:rPr>
          <w:rFonts w:eastAsiaTheme="minorEastAsia"/>
          <w:szCs w:val="20"/>
          <w:lang w:eastAsia="zh-CN"/>
        </w:rPr>
        <w:t>have</w:t>
      </w:r>
      <w:r>
        <w:rPr>
          <w:rFonts w:eastAsiaTheme="minorEastAsia"/>
          <w:szCs w:val="20"/>
          <w:lang w:eastAsia="zh-CN"/>
        </w:rPr>
        <w:t xml:space="preserve"> been achieved to</w:t>
      </w:r>
      <w:r w:rsidR="0012663D">
        <w:rPr>
          <w:rFonts w:eastAsiaTheme="minorEastAsia"/>
          <w:szCs w:val="20"/>
          <w:lang w:eastAsia="zh-CN"/>
        </w:rPr>
        <w:t xml:space="preserve"> support</w:t>
      </w:r>
      <w:r>
        <w:rPr>
          <w:rFonts w:eastAsiaTheme="minorEastAsia"/>
          <w:szCs w:val="20"/>
          <w:lang w:eastAsia="zh-CN"/>
        </w:rPr>
        <w:t xml:space="preserve"> </w:t>
      </w:r>
      <w:r w:rsidR="0020158B">
        <w:rPr>
          <w:rFonts w:eastAsiaTheme="minorEastAsia"/>
          <w:szCs w:val="20"/>
          <w:lang w:eastAsia="zh-CN"/>
        </w:rPr>
        <w:t>a pattern with period of 9 radio frames and D=U=8 contiguous DL/UL subframes in each pattern with a fixed guard period</w:t>
      </w:r>
      <w:r>
        <w:rPr>
          <w:rFonts w:eastAsiaTheme="minorEastAsia"/>
          <w:szCs w:val="20"/>
          <w:lang w:eastAsia="zh-CN"/>
        </w:rPr>
        <w:t xml:space="preserve">. </w:t>
      </w:r>
      <w:r w:rsidR="0020158B">
        <w:rPr>
          <w:rFonts w:eastAsiaTheme="minorEastAsia"/>
          <w:szCs w:val="20"/>
          <w:lang w:eastAsia="zh-CN"/>
        </w:rPr>
        <w:t>Besides, the solutions to handle the overlap of DL signal/channel with non-D subframe and overlap of UL channel with non-U subframe are also discussed and several agreements achieved</w:t>
      </w:r>
      <w:r>
        <w:rPr>
          <w:rFonts w:eastAsiaTheme="minorEastAsia"/>
          <w:szCs w:val="20"/>
          <w:lang w:eastAsia="zh-CN"/>
        </w:rPr>
        <w:t xml:space="preserve">. </w:t>
      </w:r>
      <w:r w:rsidR="00A26819">
        <w:rPr>
          <w:rFonts w:eastAsiaTheme="minorEastAsia"/>
          <w:szCs w:val="20"/>
          <w:lang w:eastAsia="zh-CN"/>
        </w:rPr>
        <w:t xml:space="preserve">Hence, </w:t>
      </w:r>
      <w:r w:rsidR="0020158B">
        <w:rPr>
          <w:rFonts w:eastAsiaTheme="minorEastAsia"/>
          <w:szCs w:val="20"/>
          <w:lang w:eastAsia="zh-CN"/>
        </w:rPr>
        <w:t>the capability should be for support of IoT-NTN TDD mode should be defined.</w:t>
      </w:r>
    </w:p>
    <w:tbl>
      <w:tblPr>
        <w:tblStyle w:val="aff0"/>
        <w:tblW w:w="0" w:type="auto"/>
        <w:tblLook w:val="04A0" w:firstRow="1" w:lastRow="0" w:firstColumn="1" w:lastColumn="0" w:noHBand="0" w:noVBand="1"/>
      </w:tblPr>
      <w:tblGrid>
        <w:gridCol w:w="9394"/>
      </w:tblGrid>
      <w:tr w:rsidR="00A26819" w14:paraId="1E510E4E" w14:textId="77777777" w:rsidTr="00A26819">
        <w:tc>
          <w:tcPr>
            <w:tcW w:w="9394" w:type="dxa"/>
          </w:tcPr>
          <w:p w14:paraId="2C7B08B2"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highlight w:val="green"/>
                <w:lang w:eastAsia="zh-CN"/>
              </w:rPr>
              <w:t>Agreement</w:t>
            </w:r>
          </w:p>
          <w:p w14:paraId="07095C73"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lang w:eastAsia="zh-CN"/>
              </w:rPr>
              <w:t>The guard period between the end of the downlink subframes and the beginning of the uplink subframes is fixed in specifications to be [48…50] ms at the ULSRP</w:t>
            </w:r>
          </w:p>
          <w:p w14:paraId="0D2C5BB5" w14:textId="77777777" w:rsidR="0020158B" w:rsidRPr="0020158B" w:rsidRDefault="0020158B" w:rsidP="0020158B">
            <w:pPr>
              <w:numPr>
                <w:ilvl w:val="0"/>
                <w:numId w:val="18"/>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Batang" w:hAnsi="Times"/>
                <w:bCs/>
                <w:szCs w:val="20"/>
                <w:lang w:eastAsia="zh-CN"/>
              </w:rPr>
              <w:t>NOTE: This corresponds to the largest separation between DL and UL Iridium slot pairs. Adjustments to align with different UL/DL pair can be achieved by adjusting the common TA</w:t>
            </w:r>
          </w:p>
          <w:p w14:paraId="5D2CAB40" w14:textId="77777777" w:rsidR="00A26819" w:rsidRPr="006A5985" w:rsidRDefault="00A26819" w:rsidP="0020158B">
            <w:pPr>
              <w:suppressAutoHyphens/>
              <w:spacing w:before="100" w:beforeAutospacing="1" w:after="100" w:afterAutospacing="1" w:line="240" w:lineRule="auto"/>
              <w:ind w:left="0"/>
              <w:jc w:val="left"/>
              <w:rPr>
                <w:rFonts w:eastAsia="Batang"/>
                <w:bCs/>
                <w:szCs w:val="20"/>
                <w:lang w:eastAsia="zh-CN"/>
              </w:rPr>
            </w:pPr>
          </w:p>
          <w:p w14:paraId="20008CD1"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highlight w:val="green"/>
                <w:lang w:eastAsia="zh-CN"/>
              </w:rPr>
              <w:t>Agreement</w:t>
            </w:r>
          </w:p>
          <w:p w14:paraId="5026FF39"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lang w:eastAsia="zh-CN"/>
              </w:rPr>
              <w:t xml:space="preserve">The downlink subframes within D=8 are fixed to: </w:t>
            </w:r>
          </w:p>
          <w:p w14:paraId="031A0A9F" w14:textId="77777777" w:rsidR="0020158B" w:rsidRPr="0020158B" w:rsidRDefault="0020158B" w:rsidP="0020158B">
            <w:pPr>
              <w:numPr>
                <w:ilvl w:val="0"/>
                <w:numId w:val="19"/>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Batang" w:hAnsi="Times"/>
                <w:bCs/>
                <w:szCs w:val="20"/>
                <w:lang w:eastAsia="zh-CN"/>
              </w:rPr>
              <w:t>Option 1: [3 4 5 6 7 8 9 0] (across two consecutive radio frames)</w:t>
            </w:r>
          </w:p>
          <w:p w14:paraId="0391CB52" w14:textId="77777777" w:rsidR="0020158B" w:rsidRPr="006A5985" w:rsidRDefault="0020158B" w:rsidP="0020158B">
            <w:pPr>
              <w:suppressAutoHyphens/>
              <w:spacing w:before="100" w:beforeAutospacing="1" w:after="100" w:afterAutospacing="1" w:line="240" w:lineRule="auto"/>
              <w:ind w:left="0"/>
              <w:jc w:val="left"/>
              <w:rPr>
                <w:rFonts w:eastAsiaTheme="minorEastAsia"/>
                <w:bCs/>
                <w:szCs w:val="20"/>
                <w:lang w:eastAsia="zh-CN"/>
              </w:rPr>
            </w:pPr>
          </w:p>
          <w:p w14:paraId="5391C47E"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highlight w:val="green"/>
                <w:lang w:eastAsia="zh-CN"/>
              </w:rPr>
              <w:t>Agreement</w:t>
            </w:r>
          </w:p>
          <w:p w14:paraId="1A2BFA68"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lang w:eastAsia="zh-CN"/>
              </w:rPr>
              <w:t xml:space="preserve">NPSS/NSSS/NPBCH transmissions are dropped in non-D NB-IoT subframes </w:t>
            </w:r>
          </w:p>
          <w:p w14:paraId="24321916" w14:textId="77777777" w:rsidR="0020158B" w:rsidRPr="0020158B" w:rsidRDefault="0020158B" w:rsidP="0020158B">
            <w:pPr>
              <w:numPr>
                <w:ilvl w:val="0"/>
                <w:numId w:val="20"/>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Batang" w:hAnsi="Times"/>
                <w:bCs/>
                <w:szCs w:val="20"/>
                <w:lang w:eastAsia="zh-CN"/>
              </w:rPr>
              <w:t>NOTE: “non-D NB-IoT subframes” are subframes not contained within the set of D=8 usable consecutive downlink subframes in the TDD structure.</w:t>
            </w:r>
          </w:p>
          <w:p w14:paraId="30F92866" w14:textId="77777777" w:rsidR="0020158B" w:rsidRPr="0020158B" w:rsidRDefault="0020158B" w:rsidP="0020158B">
            <w:pPr>
              <w:numPr>
                <w:ilvl w:val="0"/>
                <w:numId w:val="20"/>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Malgun Gothic" w:hAnsi="Times" w:cs="Times" w:hint="eastAsia"/>
                <w:bCs/>
                <w:szCs w:val="20"/>
                <w:lang w:eastAsia="zh-CN"/>
              </w:rPr>
              <w:t>F</w:t>
            </w:r>
            <w:r w:rsidRPr="0020158B">
              <w:rPr>
                <w:rFonts w:ascii="Times" w:eastAsia="Malgun Gothic" w:hAnsi="Times"/>
                <w:bCs/>
                <w:szCs w:val="20"/>
                <w:lang w:eastAsia="zh-CN"/>
              </w:rPr>
              <w:t>FS: handling for SIB1-NB</w:t>
            </w:r>
          </w:p>
          <w:p w14:paraId="60343E02" w14:textId="77777777" w:rsidR="0020158B" w:rsidRPr="006A5985" w:rsidRDefault="0020158B" w:rsidP="0020158B">
            <w:pPr>
              <w:suppressAutoHyphens/>
              <w:spacing w:before="100" w:beforeAutospacing="1" w:after="100" w:afterAutospacing="1" w:line="240" w:lineRule="auto"/>
              <w:ind w:left="0"/>
              <w:jc w:val="left"/>
              <w:rPr>
                <w:rFonts w:eastAsiaTheme="minorEastAsia"/>
                <w:bCs/>
                <w:szCs w:val="20"/>
                <w:lang w:eastAsia="zh-CN"/>
              </w:rPr>
            </w:pPr>
          </w:p>
          <w:p w14:paraId="42846222"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highlight w:val="green"/>
                <w:lang w:eastAsia="zh-CN"/>
              </w:rPr>
              <w:t>Agreement</w:t>
            </w:r>
          </w:p>
          <w:p w14:paraId="6BB592DB" w14:textId="77777777" w:rsidR="0020158B" w:rsidRPr="0020158B" w:rsidRDefault="0020158B" w:rsidP="0020158B">
            <w:pPr>
              <w:spacing w:after="0" w:line="240" w:lineRule="auto"/>
              <w:ind w:left="0"/>
              <w:jc w:val="left"/>
              <w:rPr>
                <w:rFonts w:ascii="Times" w:eastAsia="宋体" w:hAnsi="Times"/>
                <w:bCs/>
                <w:szCs w:val="20"/>
                <w:lang w:eastAsia="zh-CN"/>
              </w:rPr>
            </w:pPr>
            <w:r w:rsidRPr="0020158B">
              <w:rPr>
                <w:rFonts w:ascii="Times" w:eastAsia="宋体" w:hAnsi="Times"/>
                <w:bCs/>
                <w:szCs w:val="20"/>
                <w:lang w:eastAsia="zh-CN"/>
              </w:rPr>
              <w:t>The non-U NB-IoT subframes are not considered by the UE as “NB-IoT UL subframes” from the specifications</w:t>
            </w:r>
          </w:p>
          <w:p w14:paraId="2FCFD9F7" w14:textId="77777777" w:rsidR="0020158B" w:rsidRPr="0020158B" w:rsidRDefault="0020158B" w:rsidP="0020158B">
            <w:pPr>
              <w:numPr>
                <w:ilvl w:val="0"/>
                <w:numId w:val="21"/>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Batang" w:hAnsi="Times"/>
                <w:bCs/>
                <w:szCs w:val="20"/>
                <w:lang w:eastAsia="zh-CN"/>
              </w:rPr>
              <w:t>NPUSCH is mapped as per current specifications.</w:t>
            </w:r>
          </w:p>
          <w:p w14:paraId="53E99CB1" w14:textId="77777777" w:rsidR="0020158B" w:rsidRPr="0020158B" w:rsidRDefault="0020158B" w:rsidP="0020158B">
            <w:pPr>
              <w:numPr>
                <w:ilvl w:val="0"/>
                <w:numId w:val="21"/>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20158B">
              <w:rPr>
                <w:rFonts w:ascii="Times" w:eastAsia="Batang" w:hAnsi="Times"/>
                <w:bCs/>
                <w:szCs w:val="20"/>
                <w:lang w:eastAsia="zh-CN"/>
              </w:rPr>
              <w:t>NOTE: “non-U NB-IoT subframes” are subframes not contained within the set of U=8 usable consecutive uplink subframes in the TDD structure.</w:t>
            </w:r>
          </w:p>
          <w:p w14:paraId="0777D82F" w14:textId="77777777" w:rsidR="0020158B" w:rsidRPr="006A5985" w:rsidRDefault="0020158B" w:rsidP="0020158B">
            <w:pPr>
              <w:suppressAutoHyphens/>
              <w:spacing w:before="100" w:beforeAutospacing="1" w:after="100" w:afterAutospacing="1" w:line="240" w:lineRule="auto"/>
              <w:ind w:left="0"/>
              <w:jc w:val="left"/>
              <w:rPr>
                <w:rFonts w:eastAsiaTheme="minorEastAsia"/>
                <w:bCs/>
                <w:szCs w:val="20"/>
                <w:lang w:eastAsia="zh-CN"/>
              </w:rPr>
            </w:pPr>
          </w:p>
          <w:p w14:paraId="37BE39D7" w14:textId="77777777" w:rsidR="006A5985" w:rsidRPr="006A5985" w:rsidRDefault="006A5985" w:rsidP="006A5985">
            <w:pPr>
              <w:spacing w:after="0" w:line="240" w:lineRule="auto"/>
              <w:ind w:left="0"/>
              <w:jc w:val="left"/>
              <w:rPr>
                <w:rFonts w:ascii="Times" w:eastAsia="宋体" w:hAnsi="Times"/>
                <w:bCs/>
                <w:szCs w:val="20"/>
                <w:lang w:eastAsia="zh-CN"/>
              </w:rPr>
            </w:pPr>
            <w:r w:rsidRPr="006A5985">
              <w:rPr>
                <w:rFonts w:ascii="Times" w:eastAsia="宋体" w:hAnsi="Times"/>
                <w:bCs/>
                <w:szCs w:val="20"/>
                <w:highlight w:val="green"/>
                <w:lang w:eastAsia="zh-CN"/>
              </w:rPr>
              <w:t>Agreement</w:t>
            </w:r>
          </w:p>
          <w:p w14:paraId="17BDAFDF" w14:textId="77777777" w:rsidR="006A5985" w:rsidRPr="006A5985" w:rsidRDefault="006A5985" w:rsidP="006A5985">
            <w:pPr>
              <w:spacing w:after="0" w:line="240" w:lineRule="auto"/>
              <w:ind w:left="0"/>
              <w:jc w:val="left"/>
              <w:rPr>
                <w:rFonts w:ascii="Times" w:eastAsia="宋体" w:hAnsi="Times"/>
                <w:bCs/>
                <w:szCs w:val="20"/>
                <w:lang w:eastAsia="zh-CN"/>
              </w:rPr>
            </w:pPr>
            <w:r w:rsidRPr="006A5985">
              <w:rPr>
                <w:rFonts w:ascii="Times" w:eastAsia="宋体" w:hAnsi="Times"/>
                <w:bCs/>
                <w:szCs w:val="20"/>
                <w:lang w:eastAsia="zh-CN"/>
              </w:rPr>
              <w:t>The non-D NB-IoT subframes are not considered by the UE as “NB-IoT DL subframes” from the specifications</w:t>
            </w:r>
          </w:p>
          <w:p w14:paraId="6310AB6B" w14:textId="77777777" w:rsidR="006A5985" w:rsidRPr="006A5985" w:rsidRDefault="006A5985" w:rsidP="006A5985">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Batang" w:hAnsi="Times"/>
                <w:bCs/>
                <w:szCs w:val="20"/>
                <w:lang w:eastAsia="zh-CN"/>
              </w:rPr>
              <w:t>NPDCCH / NPDSCH (not containing SI) are mapped as per current specifications.</w:t>
            </w:r>
          </w:p>
          <w:p w14:paraId="118D0490" w14:textId="77777777" w:rsidR="006A5985" w:rsidRPr="006A5985" w:rsidRDefault="006A5985" w:rsidP="006A5985">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Batang" w:hAnsi="Times"/>
                <w:bCs/>
                <w:szCs w:val="20"/>
                <w:lang w:eastAsia="zh-CN"/>
              </w:rPr>
              <w:t>FFS: additional NB-IoT TDD-specific rules for handling non “NB-IoT DL subframes”</w:t>
            </w:r>
          </w:p>
          <w:p w14:paraId="69F4AFDF" w14:textId="77777777" w:rsidR="006A5985" w:rsidRPr="006A5985" w:rsidRDefault="006A5985" w:rsidP="006A5985">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Batang" w:hAnsi="Times"/>
                <w:bCs/>
                <w:szCs w:val="20"/>
                <w:lang w:eastAsia="zh-CN"/>
              </w:rPr>
              <w:lastRenderedPageBreak/>
              <w:t>FFS: Introduction of new periodicities for NPDCCH monitoring (e.g. by the introduction of scaling factor)</w:t>
            </w:r>
          </w:p>
          <w:p w14:paraId="6B0BFA9D" w14:textId="77777777" w:rsidR="006A5985" w:rsidRPr="006A5985" w:rsidRDefault="006A5985" w:rsidP="006A5985">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Batang" w:hAnsi="Times"/>
                <w:bCs/>
                <w:szCs w:val="20"/>
                <w:lang w:eastAsia="zh-CN"/>
              </w:rPr>
              <w:t>FFS: whether all the configuration values for NPDCCH are valid for NB-IoT NTN TDD.</w:t>
            </w:r>
          </w:p>
          <w:p w14:paraId="459A5BDC" w14:textId="77777777" w:rsidR="006A5985" w:rsidRPr="006A5985" w:rsidRDefault="006A5985" w:rsidP="006A5985">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Malgun Gothic" w:hAnsi="Times" w:cs="Times" w:hint="eastAsia"/>
                <w:bCs/>
                <w:szCs w:val="20"/>
                <w:lang w:eastAsia="zh-CN"/>
              </w:rPr>
              <w:t>F</w:t>
            </w:r>
            <w:r w:rsidRPr="006A5985">
              <w:rPr>
                <w:rFonts w:ascii="Times" w:eastAsia="Malgun Gothic" w:hAnsi="Times"/>
                <w:bCs/>
                <w:szCs w:val="20"/>
                <w:lang w:eastAsia="zh-CN"/>
              </w:rPr>
              <w:t>FS: handling of DL transmission gap</w:t>
            </w:r>
          </w:p>
          <w:p w14:paraId="012B6CAD" w14:textId="386B855E" w:rsidR="006A5985" w:rsidRPr="00753A4D" w:rsidRDefault="006A5985" w:rsidP="00753A4D">
            <w:pPr>
              <w:numPr>
                <w:ilvl w:val="0"/>
                <w:numId w:val="22"/>
              </w:numPr>
              <w:overflowPunct w:val="0"/>
              <w:autoSpaceDE w:val="0"/>
              <w:autoSpaceDN w:val="0"/>
              <w:adjustRightInd w:val="0"/>
              <w:spacing w:before="100" w:beforeAutospacing="1" w:after="100" w:afterAutospacing="1" w:line="240" w:lineRule="auto"/>
              <w:contextualSpacing/>
              <w:jc w:val="left"/>
              <w:textAlignment w:val="baseline"/>
              <w:rPr>
                <w:rFonts w:ascii="Times" w:eastAsia="Batang" w:hAnsi="Times"/>
                <w:bCs/>
                <w:szCs w:val="20"/>
                <w:lang w:eastAsia="zh-CN"/>
              </w:rPr>
            </w:pPr>
            <w:r w:rsidRPr="006A5985">
              <w:rPr>
                <w:rFonts w:ascii="Times" w:eastAsia="Batang" w:hAnsi="Times"/>
                <w:bCs/>
                <w:szCs w:val="20"/>
                <w:lang w:eastAsia="zh-CN"/>
              </w:rPr>
              <w:t>NOTE: “non-D NB-IoT subframes” are subframes not contained within the set of D=8 usable consecutive downlink subframes in the TDD structure.</w:t>
            </w:r>
          </w:p>
          <w:p w14:paraId="0B1C0C36" w14:textId="77777777" w:rsidR="00753A4D" w:rsidRPr="00753A4D" w:rsidRDefault="00753A4D" w:rsidP="00753A4D">
            <w:pPr>
              <w:spacing w:after="0" w:line="240" w:lineRule="auto"/>
              <w:ind w:left="0"/>
              <w:jc w:val="left"/>
              <w:rPr>
                <w:rFonts w:ascii="Times" w:eastAsiaTheme="minorEastAsia" w:hAnsi="Times"/>
                <w:bCs/>
                <w:szCs w:val="20"/>
                <w:lang w:eastAsia="zh-CN"/>
              </w:rPr>
            </w:pPr>
          </w:p>
          <w:p w14:paraId="4593E573" w14:textId="77777777" w:rsidR="006A5985" w:rsidRPr="006A5985" w:rsidRDefault="006A5985" w:rsidP="006A5985">
            <w:pPr>
              <w:overflowPunct w:val="0"/>
              <w:autoSpaceDE w:val="0"/>
              <w:autoSpaceDN w:val="0"/>
              <w:adjustRightInd w:val="0"/>
              <w:spacing w:after="0" w:line="240" w:lineRule="auto"/>
              <w:ind w:left="0"/>
              <w:contextualSpacing/>
              <w:jc w:val="left"/>
              <w:textAlignment w:val="baseline"/>
              <w:rPr>
                <w:rFonts w:ascii="Times" w:eastAsia="Malgun Gothic" w:hAnsi="Times"/>
                <w:bCs/>
                <w:szCs w:val="20"/>
                <w:lang w:eastAsia="zh-CN"/>
              </w:rPr>
            </w:pPr>
            <w:r w:rsidRPr="006A5985">
              <w:rPr>
                <w:rFonts w:ascii="Times" w:eastAsia="Malgun Gothic" w:hAnsi="Times"/>
                <w:bCs/>
                <w:szCs w:val="20"/>
                <w:highlight w:val="darkYellow"/>
                <w:lang w:eastAsia="zh-CN"/>
              </w:rPr>
              <w:t>Working assumption</w:t>
            </w:r>
          </w:p>
          <w:p w14:paraId="1FE7E536" w14:textId="18266FA9" w:rsidR="006A5985" w:rsidRPr="006A5985" w:rsidRDefault="006A5985" w:rsidP="006A5985">
            <w:pPr>
              <w:overflowPunct w:val="0"/>
              <w:autoSpaceDE w:val="0"/>
              <w:autoSpaceDN w:val="0"/>
              <w:adjustRightInd w:val="0"/>
              <w:spacing w:after="0" w:line="240" w:lineRule="auto"/>
              <w:ind w:left="0"/>
              <w:contextualSpacing/>
              <w:jc w:val="left"/>
              <w:textAlignment w:val="baseline"/>
              <w:rPr>
                <w:rFonts w:ascii="Times" w:eastAsiaTheme="minorEastAsia" w:hAnsi="Times"/>
                <w:bCs/>
                <w:szCs w:val="20"/>
                <w:lang w:eastAsia="zh-CN"/>
              </w:rPr>
            </w:pPr>
            <w:r w:rsidRPr="006A5985">
              <w:rPr>
                <w:rFonts w:eastAsia="Batang"/>
                <w:bCs/>
                <w:szCs w:val="20"/>
                <w:lang w:eastAsia="zh-CN"/>
              </w:rPr>
              <w:t>Uplink transmission gaps do not apply in NB-IoT NTN TDD.</w:t>
            </w:r>
          </w:p>
        </w:tc>
      </w:tr>
    </w:tbl>
    <w:p w14:paraId="142F579C" w14:textId="1A5E0FAD" w:rsidR="00D83AA3" w:rsidRPr="00D83AA3" w:rsidRDefault="00D83AA3" w:rsidP="00D52A39">
      <w:pPr>
        <w:spacing w:before="120" w:after="120" w:line="240" w:lineRule="auto"/>
        <w:ind w:left="0"/>
        <w:rPr>
          <w:rFonts w:eastAsiaTheme="minorEastAsia"/>
          <w:szCs w:val="20"/>
          <w:lang w:eastAsia="zh-CN"/>
        </w:rPr>
      </w:pPr>
    </w:p>
    <w:p w14:paraId="353E9D51" w14:textId="2572BA0F" w:rsidR="0033686A" w:rsidRPr="006A5985" w:rsidRDefault="00D52A39" w:rsidP="00D52A39">
      <w:pPr>
        <w:numPr>
          <w:ilvl w:val="255"/>
          <w:numId w:val="0"/>
        </w:numPr>
        <w:spacing w:beforeLines="50" w:before="120" w:afterLines="50" w:after="120" w:line="240" w:lineRule="auto"/>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Pr>
          <w:i/>
          <w:iCs/>
          <w:lang w:eastAsia="zh-CN"/>
        </w:rPr>
        <w:t>Rel-1</w:t>
      </w:r>
      <w:r w:rsidR="00664F4D">
        <w:rPr>
          <w:i/>
          <w:iCs/>
          <w:lang w:eastAsia="zh-CN"/>
        </w:rPr>
        <w:t>9</w:t>
      </w:r>
      <w:r>
        <w:rPr>
          <w:i/>
          <w:iCs/>
          <w:lang w:eastAsia="zh-CN"/>
        </w:rPr>
        <w:t xml:space="preserve"> </w:t>
      </w:r>
      <w:r w:rsidR="006A5985" w:rsidRPr="006A5985">
        <w:rPr>
          <w:rFonts w:hint="eastAsia"/>
          <w:i/>
          <w:iCs/>
          <w:lang w:eastAsia="zh-CN"/>
        </w:rPr>
        <w:t>IoT</w:t>
      </w:r>
      <w:r w:rsidR="006A5985">
        <w:rPr>
          <w:i/>
          <w:iCs/>
          <w:lang w:eastAsia="zh-CN"/>
        </w:rPr>
        <w:t>-NTN TDD mode</w:t>
      </w:r>
      <w:r>
        <w:rPr>
          <w:rFonts w:hint="eastAsia"/>
          <w:i/>
          <w:iCs/>
          <w:lang w:eastAsia="zh-CN"/>
        </w:rPr>
        <w:t xml:space="preserve">. </w:t>
      </w:r>
    </w:p>
    <w:p w14:paraId="756D0A48" w14:textId="77777777" w:rsidR="0033686A" w:rsidRDefault="0033686A">
      <w:pPr>
        <w:spacing w:after="120"/>
        <w:ind w:left="0"/>
        <w:rPr>
          <w:rFonts w:eastAsiaTheme="minorEastAsia"/>
          <w:szCs w:val="20"/>
          <w:lang w:eastAsia="zh-CN"/>
        </w:rPr>
        <w:sectPr w:rsidR="0033686A">
          <w:footerReference w:type="default" r:id="rId9"/>
          <w:pgSz w:w="12240" w:h="15840"/>
          <w:pgMar w:top="1418" w:right="1418" w:bottom="1418" w:left="1418" w:header="709" w:footer="709" w:gutter="0"/>
          <w:cols w:space="720"/>
          <w:docGrid w:linePitch="360"/>
        </w:sectPr>
      </w:pPr>
    </w:p>
    <w:p w14:paraId="7330567A" w14:textId="45B4DBE3" w:rsidR="0033686A" w:rsidRDefault="00792793">
      <w:pPr>
        <w:pStyle w:val="a8"/>
      </w:pPr>
      <w:bookmarkStart w:id="4" w:name="_Ref134801033"/>
      <w:r>
        <w:lastRenderedPageBreak/>
        <w:t xml:space="preserve">Table </w:t>
      </w:r>
      <w:r>
        <w:fldChar w:fldCharType="begin"/>
      </w:r>
      <w:r>
        <w:instrText xml:space="preserve"> SEQ Table \* ARABIC </w:instrText>
      </w:r>
      <w:r>
        <w:fldChar w:fldCharType="separate"/>
      </w:r>
      <w:r>
        <w:t>1</w:t>
      </w:r>
      <w:r>
        <w:fldChar w:fldCharType="end"/>
      </w:r>
      <w:bookmarkEnd w:id="4"/>
      <w:r>
        <w:t xml:space="preserve"> UE features for Rel-1</w:t>
      </w:r>
      <w:r w:rsidR="00664F4D">
        <w:t>9</w:t>
      </w:r>
      <w:r>
        <w:t xml:space="preserve"> </w:t>
      </w:r>
      <w:r w:rsidR="006A5985">
        <w:t>IoT</w:t>
      </w:r>
      <w:r>
        <w:t>-NTN</w:t>
      </w:r>
      <w:r w:rsidR="006A5985">
        <w:t xml:space="preserve"> TDD mode</w:t>
      </w:r>
    </w:p>
    <w:tbl>
      <w:tblPr>
        <w:tblW w:w="20968"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48"/>
        <w:gridCol w:w="2037"/>
        <w:gridCol w:w="4285"/>
        <w:gridCol w:w="892"/>
        <w:gridCol w:w="851"/>
        <w:gridCol w:w="1566"/>
        <w:gridCol w:w="1439"/>
        <w:gridCol w:w="1537"/>
        <w:gridCol w:w="851"/>
        <w:gridCol w:w="1276"/>
        <w:gridCol w:w="3111"/>
        <w:gridCol w:w="1128"/>
      </w:tblGrid>
      <w:tr w:rsidR="00F01E18" w14:paraId="6EE817C8" w14:textId="77777777" w:rsidTr="00F01E18">
        <w:trPr>
          <w:trHeight w:val="1637"/>
        </w:trPr>
        <w:tc>
          <w:tcPr>
            <w:tcW w:w="1347" w:type="dxa"/>
            <w:tcBorders>
              <w:top w:val="single" w:sz="4" w:space="0" w:color="auto"/>
              <w:left w:val="single" w:sz="4" w:space="0" w:color="auto"/>
              <w:bottom w:val="single" w:sz="4" w:space="0" w:color="auto"/>
              <w:right w:val="single" w:sz="4" w:space="0" w:color="auto"/>
            </w:tcBorders>
            <w:hideMark/>
          </w:tcPr>
          <w:p w14:paraId="3F260314" w14:textId="77777777" w:rsidR="00F01E18" w:rsidRDefault="00F01E18">
            <w:pPr>
              <w:pStyle w:val="TAH"/>
              <w:ind w:left="0"/>
              <w:jc w:val="both"/>
              <w:rPr>
                <w:rFonts w:ascii="Cambria" w:hAnsi="Cambria"/>
                <w:color w:val="000000"/>
                <w:szCs w:val="18"/>
                <w:lang w:eastAsia="zh-CN"/>
              </w:rPr>
            </w:pPr>
            <w:r>
              <w:rPr>
                <w:color w:val="000000"/>
              </w:rPr>
              <w:t>Features</w:t>
            </w:r>
          </w:p>
        </w:tc>
        <w:tc>
          <w:tcPr>
            <w:tcW w:w="648" w:type="dxa"/>
            <w:tcBorders>
              <w:top w:val="single" w:sz="4" w:space="0" w:color="auto"/>
              <w:left w:val="nil"/>
              <w:bottom w:val="single" w:sz="4" w:space="0" w:color="auto"/>
              <w:right w:val="single" w:sz="4" w:space="0" w:color="auto"/>
            </w:tcBorders>
            <w:hideMark/>
          </w:tcPr>
          <w:p w14:paraId="3050EDC9" w14:textId="77777777" w:rsidR="00F01E18" w:rsidRDefault="00F01E18">
            <w:pPr>
              <w:pStyle w:val="TAH"/>
              <w:ind w:left="0"/>
              <w:rPr>
                <w:rFonts w:ascii="Cambria" w:hAnsi="Cambria"/>
                <w:color w:val="000000"/>
              </w:rPr>
            </w:pPr>
            <w:r>
              <w:rPr>
                <w:color w:val="000000"/>
              </w:rPr>
              <w:t>Index</w:t>
            </w:r>
          </w:p>
        </w:tc>
        <w:tc>
          <w:tcPr>
            <w:tcW w:w="2037" w:type="dxa"/>
            <w:tcBorders>
              <w:top w:val="single" w:sz="4" w:space="0" w:color="auto"/>
              <w:left w:val="nil"/>
              <w:bottom w:val="single" w:sz="4" w:space="0" w:color="auto"/>
              <w:right w:val="single" w:sz="4" w:space="0" w:color="auto"/>
            </w:tcBorders>
            <w:hideMark/>
          </w:tcPr>
          <w:p w14:paraId="2BBEFCF5" w14:textId="77777777" w:rsidR="00F01E18" w:rsidRDefault="00F01E18">
            <w:pPr>
              <w:pStyle w:val="TAH"/>
              <w:ind w:left="0"/>
              <w:rPr>
                <w:rFonts w:ascii="Cambria" w:hAnsi="Cambria"/>
                <w:color w:val="000000"/>
              </w:rPr>
            </w:pPr>
            <w:r>
              <w:rPr>
                <w:color w:val="000000"/>
              </w:rPr>
              <w:t>Feature group</w:t>
            </w:r>
          </w:p>
        </w:tc>
        <w:tc>
          <w:tcPr>
            <w:tcW w:w="4285" w:type="dxa"/>
            <w:tcBorders>
              <w:top w:val="single" w:sz="4" w:space="0" w:color="auto"/>
              <w:left w:val="nil"/>
              <w:bottom w:val="single" w:sz="4" w:space="0" w:color="auto"/>
              <w:right w:val="single" w:sz="4" w:space="0" w:color="auto"/>
            </w:tcBorders>
            <w:hideMark/>
          </w:tcPr>
          <w:p w14:paraId="58FAFAAD" w14:textId="77777777" w:rsidR="00F01E18" w:rsidRDefault="00F01E18">
            <w:pPr>
              <w:pStyle w:val="TAH"/>
              <w:rPr>
                <w:rFonts w:ascii="Cambria" w:hAnsi="Cambria"/>
                <w:color w:val="000000"/>
              </w:rPr>
            </w:pPr>
            <w:r>
              <w:rPr>
                <w:color w:val="000000"/>
              </w:rPr>
              <w:t>Components</w:t>
            </w:r>
          </w:p>
        </w:tc>
        <w:tc>
          <w:tcPr>
            <w:tcW w:w="892" w:type="dxa"/>
            <w:tcBorders>
              <w:top w:val="single" w:sz="4" w:space="0" w:color="auto"/>
              <w:left w:val="nil"/>
              <w:bottom w:val="single" w:sz="4" w:space="0" w:color="auto"/>
              <w:right w:val="single" w:sz="4" w:space="0" w:color="auto"/>
            </w:tcBorders>
            <w:hideMark/>
          </w:tcPr>
          <w:p w14:paraId="2F6F971D" w14:textId="77777777" w:rsidR="00F01E18" w:rsidRDefault="00F01E18">
            <w:pPr>
              <w:pStyle w:val="TAH"/>
              <w:ind w:left="0"/>
              <w:rPr>
                <w:rFonts w:ascii="Cambria" w:hAnsi="Cambria"/>
                <w:color w:val="000000"/>
              </w:rPr>
            </w:pPr>
            <w:r>
              <w:rPr>
                <w:color w:val="000000"/>
              </w:rPr>
              <w:t>Prerequisite feature groups</w:t>
            </w:r>
          </w:p>
        </w:tc>
        <w:tc>
          <w:tcPr>
            <w:tcW w:w="851" w:type="dxa"/>
            <w:tcBorders>
              <w:top w:val="single" w:sz="4" w:space="0" w:color="auto"/>
              <w:left w:val="nil"/>
              <w:bottom w:val="single" w:sz="4" w:space="0" w:color="auto"/>
              <w:right w:val="single" w:sz="4" w:space="0" w:color="auto"/>
            </w:tcBorders>
            <w:hideMark/>
          </w:tcPr>
          <w:p w14:paraId="67050C53" w14:textId="77777777" w:rsidR="00F01E18" w:rsidRDefault="00F01E18">
            <w:pPr>
              <w:pStyle w:val="TAH"/>
              <w:ind w:left="0"/>
              <w:rPr>
                <w:rFonts w:ascii="Cambria" w:hAnsi="Cambria"/>
                <w:color w:val="000000"/>
              </w:rPr>
            </w:pPr>
            <w:r>
              <w:rPr>
                <w:color w:val="000000"/>
              </w:rPr>
              <w:t>Need for the eNB to know if the feature is supported</w:t>
            </w:r>
          </w:p>
        </w:tc>
        <w:tc>
          <w:tcPr>
            <w:tcW w:w="1566" w:type="dxa"/>
            <w:tcBorders>
              <w:top w:val="single" w:sz="4" w:space="0" w:color="auto"/>
              <w:left w:val="nil"/>
              <w:bottom w:val="single" w:sz="4" w:space="0" w:color="auto"/>
              <w:right w:val="single" w:sz="4" w:space="0" w:color="auto"/>
            </w:tcBorders>
            <w:hideMark/>
          </w:tcPr>
          <w:p w14:paraId="47B6AF5B" w14:textId="77777777" w:rsidR="00F01E18" w:rsidRDefault="00F01E18">
            <w:pPr>
              <w:pStyle w:val="TAH"/>
              <w:ind w:left="0"/>
              <w:rPr>
                <w:rFonts w:ascii="Cambria" w:hAnsi="Cambria"/>
                <w:color w:val="000000"/>
              </w:rPr>
            </w:pPr>
            <w:r>
              <w:rPr>
                <w:color w:val="000000"/>
              </w:rPr>
              <w:t>Need for the UE to know if the feature is supported (only for V2X WI, where the PC5-RRC capability signalling is delivered between the UEs)</w:t>
            </w:r>
          </w:p>
        </w:tc>
        <w:tc>
          <w:tcPr>
            <w:tcW w:w="1439" w:type="dxa"/>
            <w:tcBorders>
              <w:top w:val="single" w:sz="4" w:space="0" w:color="auto"/>
              <w:left w:val="nil"/>
              <w:bottom w:val="single" w:sz="4" w:space="0" w:color="auto"/>
              <w:right w:val="single" w:sz="4" w:space="0" w:color="auto"/>
            </w:tcBorders>
            <w:hideMark/>
          </w:tcPr>
          <w:p w14:paraId="467222C8" w14:textId="77777777" w:rsidR="00F01E18" w:rsidRDefault="00F01E18">
            <w:pPr>
              <w:pStyle w:val="TAN"/>
              <w:ind w:left="0" w:firstLine="0"/>
              <w:jc w:val="center"/>
              <w:rPr>
                <w:rFonts w:ascii="Cambria" w:hAnsi="Cambria"/>
                <w:b/>
                <w:color w:val="000000"/>
              </w:rPr>
            </w:pPr>
            <w:r>
              <w:rPr>
                <w:b/>
                <w:color w:val="000000"/>
              </w:rPr>
              <w:t>Consequence if the feature is not supported by the UE</w:t>
            </w:r>
          </w:p>
        </w:tc>
        <w:tc>
          <w:tcPr>
            <w:tcW w:w="1537" w:type="dxa"/>
            <w:tcBorders>
              <w:top w:val="single" w:sz="4" w:space="0" w:color="auto"/>
              <w:left w:val="nil"/>
              <w:bottom w:val="single" w:sz="4" w:space="0" w:color="auto"/>
              <w:right w:val="single" w:sz="4" w:space="0" w:color="auto"/>
            </w:tcBorders>
            <w:hideMark/>
          </w:tcPr>
          <w:p w14:paraId="23AD1BA3" w14:textId="77777777" w:rsidR="00F01E18" w:rsidRDefault="00F01E18">
            <w:pPr>
              <w:pStyle w:val="TAN"/>
              <w:ind w:left="0" w:firstLine="0"/>
              <w:jc w:val="center"/>
              <w:rPr>
                <w:b/>
                <w:color w:val="000000"/>
              </w:rPr>
            </w:pPr>
            <w:r>
              <w:rPr>
                <w:b/>
                <w:color w:val="000000"/>
              </w:rPr>
              <w:t>Type</w:t>
            </w:r>
          </w:p>
          <w:p w14:paraId="430A12E8" w14:textId="77777777" w:rsidR="00F01E18" w:rsidRDefault="00F01E18">
            <w:pPr>
              <w:pStyle w:val="TAN"/>
              <w:ind w:left="0" w:firstLine="0"/>
              <w:jc w:val="center"/>
              <w:rPr>
                <w:rFonts w:ascii="Cambria" w:hAnsi="Cambria"/>
                <w:b/>
                <w:color w:val="000000"/>
              </w:rPr>
            </w:pPr>
            <w:r>
              <w:rPr>
                <w:b/>
                <w:color w:val="000000"/>
              </w:rPr>
              <w:t>(the ‘type’ definition from UE features should be based on the granularity of 1) Per UE or 2) Per Band or 3) Per BC or 4) Per FS or 5) Per FSPC)</w:t>
            </w:r>
          </w:p>
        </w:tc>
        <w:tc>
          <w:tcPr>
            <w:tcW w:w="851" w:type="dxa"/>
            <w:tcBorders>
              <w:top w:val="single" w:sz="4" w:space="0" w:color="auto"/>
              <w:left w:val="nil"/>
              <w:bottom w:val="single" w:sz="4" w:space="0" w:color="auto"/>
              <w:right w:val="single" w:sz="4" w:space="0" w:color="auto"/>
            </w:tcBorders>
            <w:hideMark/>
          </w:tcPr>
          <w:p w14:paraId="74842E30" w14:textId="77777777" w:rsidR="00F01E18" w:rsidRDefault="00F01E18">
            <w:pPr>
              <w:pStyle w:val="TAH"/>
              <w:ind w:left="0"/>
              <w:jc w:val="both"/>
              <w:rPr>
                <w:rFonts w:ascii="Cambria" w:hAnsi="Cambria"/>
                <w:color w:val="000000"/>
              </w:rPr>
            </w:pPr>
            <w:r>
              <w:rPr>
                <w:color w:val="000000"/>
              </w:rPr>
              <w:t>Need of FDD/TDD differentiation</w:t>
            </w:r>
          </w:p>
        </w:tc>
        <w:tc>
          <w:tcPr>
            <w:tcW w:w="1276" w:type="dxa"/>
            <w:tcBorders>
              <w:top w:val="single" w:sz="4" w:space="0" w:color="auto"/>
              <w:left w:val="nil"/>
              <w:bottom w:val="single" w:sz="4" w:space="0" w:color="auto"/>
              <w:right w:val="single" w:sz="4" w:space="0" w:color="auto"/>
            </w:tcBorders>
            <w:hideMark/>
          </w:tcPr>
          <w:p w14:paraId="0DECD476" w14:textId="77777777" w:rsidR="00F01E18" w:rsidRDefault="00F01E18">
            <w:pPr>
              <w:pStyle w:val="TAH"/>
              <w:ind w:left="0"/>
              <w:jc w:val="both"/>
              <w:rPr>
                <w:rFonts w:ascii="Cambria" w:hAnsi="Cambria"/>
                <w:color w:val="000000"/>
              </w:rPr>
            </w:pPr>
            <w:r>
              <w:rPr>
                <w:color w:val="000000"/>
              </w:rPr>
              <w:t>Capability interpretation for mixture of FDD/TDD</w:t>
            </w:r>
          </w:p>
        </w:tc>
        <w:tc>
          <w:tcPr>
            <w:tcW w:w="3111" w:type="dxa"/>
            <w:tcBorders>
              <w:top w:val="single" w:sz="4" w:space="0" w:color="auto"/>
              <w:left w:val="nil"/>
              <w:bottom w:val="single" w:sz="4" w:space="0" w:color="auto"/>
              <w:right w:val="single" w:sz="4" w:space="0" w:color="auto"/>
            </w:tcBorders>
            <w:hideMark/>
          </w:tcPr>
          <w:p w14:paraId="519F716E" w14:textId="77777777" w:rsidR="00F01E18" w:rsidRDefault="00F01E18">
            <w:pPr>
              <w:pStyle w:val="TAH"/>
              <w:ind w:left="0"/>
              <w:jc w:val="both"/>
              <w:rPr>
                <w:rFonts w:ascii="Cambria" w:hAnsi="Cambria"/>
                <w:color w:val="000000"/>
              </w:rPr>
            </w:pPr>
            <w:r>
              <w:rPr>
                <w:color w:val="000000"/>
              </w:rPr>
              <w:t>Note</w:t>
            </w:r>
          </w:p>
        </w:tc>
        <w:tc>
          <w:tcPr>
            <w:tcW w:w="1128" w:type="dxa"/>
            <w:tcBorders>
              <w:top w:val="single" w:sz="4" w:space="0" w:color="auto"/>
              <w:left w:val="nil"/>
              <w:bottom w:val="single" w:sz="4" w:space="0" w:color="auto"/>
              <w:right w:val="single" w:sz="4" w:space="0" w:color="auto"/>
            </w:tcBorders>
            <w:hideMark/>
          </w:tcPr>
          <w:p w14:paraId="6CCF7C7F" w14:textId="77777777" w:rsidR="00F01E18" w:rsidRDefault="00F01E18" w:rsidP="00F01E18">
            <w:pPr>
              <w:pStyle w:val="TAH"/>
              <w:ind w:left="0"/>
              <w:jc w:val="both"/>
              <w:rPr>
                <w:rFonts w:ascii="Cambria" w:hAnsi="Cambria"/>
                <w:color w:val="000000"/>
              </w:rPr>
            </w:pPr>
            <w:r>
              <w:rPr>
                <w:color w:val="000000"/>
              </w:rPr>
              <w:t>Mandatory/Optional</w:t>
            </w:r>
          </w:p>
        </w:tc>
      </w:tr>
      <w:tr w:rsidR="00F01E18" w14:paraId="3E302708" w14:textId="77777777" w:rsidTr="00F01E18">
        <w:trPr>
          <w:trHeight w:val="1637"/>
        </w:trPr>
        <w:tc>
          <w:tcPr>
            <w:tcW w:w="1347" w:type="dxa"/>
            <w:tcBorders>
              <w:top w:val="single" w:sz="4" w:space="0" w:color="auto"/>
              <w:left w:val="single" w:sz="4" w:space="0" w:color="auto"/>
              <w:bottom w:val="single" w:sz="4" w:space="0" w:color="auto"/>
              <w:right w:val="single" w:sz="4" w:space="0" w:color="auto"/>
            </w:tcBorders>
            <w:hideMark/>
          </w:tcPr>
          <w:p w14:paraId="58E55967" w14:textId="16B1DCE8" w:rsidR="00F01E18" w:rsidRDefault="00F01E18" w:rsidP="00F01E18">
            <w:pPr>
              <w:pStyle w:val="TAL"/>
              <w:ind w:left="0"/>
              <w:rPr>
                <w:rFonts w:cs="Arial"/>
                <w:color w:val="000000"/>
              </w:rPr>
            </w:pPr>
            <w:r>
              <w:rPr>
                <w:rFonts w:cs="Arial"/>
                <w:color w:val="000000" w:themeColor="text1"/>
                <w:szCs w:val="18"/>
                <w:lang w:eastAsia="zh-CN"/>
              </w:rPr>
              <w:t>2</w:t>
            </w:r>
            <w:r w:rsidRPr="0044727D">
              <w:rPr>
                <w:rFonts w:cs="Arial"/>
                <w:color w:val="000000" w:themeColor="text1"/>
                <w:szCs w:val="18"/>
                <w:lang w:eastAsia="zh-CN"/>
              </w:rPr>
              <w:t xml:space="preserve">. </w:t>
            </w:r>
            <w:r w:rsidRPr="006A5985">
              <w:rPr>
                <w:rFonts w:cs="Arial"/>
                <w:color w:val="000000" w:themeColor="text1"/>
                <w:szCs w:val="18"/>
                <w:lang w:eastAsia="zh-CN"/>
              </w:rPr>
              <w:t>IoT_NTN_TDD-Core</w:t>
            </w:r>
          </w:p>
        </w:tc>
        <w:tc>
          <w:tcPr>
            <w:tcW w:w="648" w:type="dxa"/>
            <w:tcBorders>
              <w:top w:val="single" w:sz="4" w:space="0" w:color="auto"/>
              <w:left w:val="nil"/>
              <w:bottom w:val="single" w:sz="4" w:space="0" w:color="auto"/>
              <w:right w:val="single" w:sz="4" w:space="0" w:color="auto"/>
            </w:tcBorders>
            <w:hideMark/>
          </w:tcPr>
          <w:p w14:paraId="71A3A719" w14:textId="4C09FC50" w:rsidR="00F01E18" w:rsidRDefault="00F01E18" w:rsidP="00F01E18">
            <w:pPr>
              <w:pStyle w:val="TAL"/>
              <w:ind w:left="0"/>
              <w:rPr>
                <w:rFonts w:eastAsia="MS Mincho" w:cs="Arial"/>
                <w:color w:val="000000"/>
              </w:rPr>
            </w:pPr>
            <w:r>
              <w:rPr>
                <w:rFonts w:cs="Arial"/>
                <w:color w:val="000000" w:themeColor="text1"/>
                <w:szCs w:val="18"/>
                <w:lang w:eastAsia="zh-CN"/>
              </w:rPr>
              <w:t>2</w:t>
            </w:r>
            <w:r w:rsidRPr="0044727D">
              <w:rPr>
                <w:rFonts w:cs="Arial"/>
                <w:color w:val="000000" w:themeColor="text1"/>
                <w:szCs w:val="18"/>
                <w:lang w:eastAsia="zh-CN"/>
              </w:rPr>
              <w:t>-1</w:t>
            </w:r>
          </w:p>
        </w:tc>
        <w:tc>
          <w:tcPr>
            <w:tcW w:w="2037" w:type="dxa"/>
            <w:tcBorders>
              <w:top w:val="single" w:sz="4" w:space="0" w:color="auto"/>
              <w:left w:val="nil"/>
              <w:bottom w:val="single" w:sz="4" w:space="0" w:color="auto"/>
              <w:right w:val="single" w:sz="4" w:space="0" w:color="auto"/>
            </w:tcBorders>
            <w:hideMark/>
          </w:tcPr>
          <w:p w14:paraId="2E4E4C64" w14:textId="3999EC91" w:rsidR="00F01E18" w:rsidRDefault="00F01E18" w:rsidP="00F01E18">
            <w:pPr>
              <w:pStyle w:val="TAL"/>
              <w:ind w:left="0"/>
              <w:rPr>
                <w:rFonts w:eastAsia="宋体" w:cs="Arial"/>
                <w:color w:val="000000"/>
              </w:rPr>
            </w:pPr>
            <w:r w:rsidRPr="006A5985">
              <w:rPr>
                <w:rFonts w:cs="Arial"/>
                <w:color w:val="000000" w:themeColor="text1"/>
                <w:szCs w:val="18"/>
                <w:lang w:eastAsia="zh-CN"/>
              </w:rPr>
              <w:t xml:space="preserve">Basic </w:t>
            </w:r>
            <w:r>
              <w:rPr>
                <w:rFonts w:cs="Arial"/>
                <w:color w:val="000000" w:themeColor="text1"/>
                <w:szCs w:val="18"/>
                <w:lang w:eastAsia="zh-CN"/>
              </w:rPr>
              <w:t>support of IoT-NTN TDD mode</w:t>
            </w:r>
          </w:p>
        </w:tc>
        <w:tc>
          <w:tcPr>
            <w:tcW w:w="4285" w:type="dxa"/>
            <w:tcBorders>
              <w:top w:val="single" w:sz="4" w:space="0" w:color="auto"/>
              <w:left w:val="nil"/>
              <w:bottom w:val="single" w:sz="4" w:space="0" w:color="auto"/>
              <w:right w:val="single" w:sz="4" w:space="0" w:color="auto"/>
            </w:tcBorders>
            <w:hideMark/>
          </w:tcPr>
          <w:p w14:paraId="204DA4CE" w14:textId="77777777" w:rsidR="00F01E18" w:rsidRDefault="00F01E18" w:rsidP="00F01E18">
            <w:pPr>
              <w:pStyle w:val="TAL"/>
              <w:numPr>
                <w:ilvl w:val="0"/>
                <w:numId w:val="23"/>
              </w:numPr>
              <w:rPr>
                <w:rFonts w:cs="Arial"/>
                <w:color w:val="000000"/>
              </w:rPr>
            </w:pPr>
            <w:r>
              <w:rPr>
                <w:rFonts w:cs="Arial"/>
                <w:color w:val="000000"/>
              </w:rPr>
              <w:t>S</w:t>
            </w:r>
            <w:r w:rsidRPr="004D7459">
              <w:rPr>
                <w:rFonts w:cs="Arial"/>
                <w:color w:val="000000"/>
              </w:rPr>
              <w:t xml:space="preserve">upport </w:t>
            </w:r>
            <w:r>
              <w:rPr>
                <w:rFonts w:cs="Arial"/>
                <w:color w:val="000000"/>
              </w:rPr>
              <w:t>of a TDD pattern.</w:t>
            </w:r>
          </w:p>
          <w:p w14:paraId="5DB82603" w14:textId="77777777" w:rsidR="00F01E18" w:rsidRDefault="00F01E18" w:rsidP="00F01E18">
            <w:pPr>
              <w:pStyle w:val="TAL"/>
              <w:ind w:left="0"/>
              <w:rPr>
                <w:rFonts w:cs="Arial"/>
                <w:color w:val="000000"/>
              </w:rPr>
            </w:pPr>
            <w:r>
              <w:rPr>
                <w:rFonts w:cs="Arial"/>
                <w:color w:val="000000"/>
              </w:rPr>
              <w:t>The period of pattern is N=9 radio frames.</w:t>
            </w:r>
          </w:p>
          <w:p w14:paraId="7C971D40" w14:textId="77777777" w:rsidR="00F01E18" w:rsidRDefault="00F01E18" w:rsidP="00F01E18">
            <w:pPr>
              <w:pStyle w:val="TAL"/>
              <w:ind w:left="0"/>
              <w:rPr>
                <w:rFonts w:cs="Arial"/>
                <w:color w:val="000000"/>
              </w:rPr>
            </w:pPr>
            <w:r>
              <w:rPr>
                <w:rFonts w:cs="Arial"/>
                <w:color w:val="000000"/>
              </w:rPr>
              <w:t xml:space="preserve">The pattern consists of D=8 contiguous DL subframes, U=8 contiguous UL subframes, and guard periods. </w:t>
            </w:r>
          </w:p>
          <w:p w14:paraId="4C4A0A20" w14:textId="77777777" w:rsidR="00F01E18" w:rsidRDefault="00F01E18" w:rsidP="00F01E18">
            <w:pPr>
              <w:pStyle w:val="TAL"/>
              <w:ind w:left="0"/>
              <w:rPr>
                <w:rFonts w:cs="Arial"/>
                <w:color w:val="000000"/>
              </w:rPr>
            </w:pPr>
            <w:r>
              <w:rPr>
                <w:rFonts w:cs="Arial"/>
                <w:color w:val="000000"/>
              </w:rPr>
              <w:t xml:space="preserve">The guard period </w:t>
            </w:r>
            <w:r w:rsidRPr="003B483B">
              <w:rPr>
                <w:rFonts w:cs="Arial"/>
                <w:color w:val="000000"/>
              </w:rPr>
              <w:t xml:space="preserve">between the end of the </w:t>
            </w:r>
            <w:r>
              <w:rPr>
                <w:rFonts w:cs="Arial"/>
                <w:color w:val="000000"/>
              </w:rPr>
              <w:t>DL</w:t>
            </w:r>
            <w:r w:rsidRPr="003B483B">
              <w:rPr>
                <w:rFonts w:cs="Arial"/>
                <w:color w:val="000000"/>
              </w:rPr>
              <w:t xml:space="preserve"> subframes and the beginning of the </w:t>
            </w:r>
            <w:r>
              <w:rPr>
                <w:rFonts w:cs="Arial"/>
                <w:color w:val="000000"/>
              </w:rPr>
              <w:t>UL</w:t>
            </w:r>
            <w:r w:rsidRPr="003B483B">
              <w:rPr>
                <w:rFonts w:cs="Arial"/>
                <w:color w:val="000000"/>
              </w:rPr>
              <w:t xml:space="preserve"> subframes is fixed to be </w:t>
            </w:r>
            <w:r w:rsidRPr="00753A4D">
              <w:rPr>
                <w:rFonts w:cs="Arial"/>
                <w:color w:val="000000"/>
                <w:highlight w:val="yellow"/>
              </w:rPr>
              <w:t>[48…50]</w:t>
            </w:r>
            <w:r w:rsidRPr="003B483B">
              <w:rPr>
                <w:rFonts w:cs="Arial"/>
                <w:color w:val="000000"/>
              </w:rPr>
              <w:t xml:space="preserve"> ms at the ULSRP</w:t>
            </w:r>
          </w:p>
          <w:p w14:paraId="0CD557CC" w14:textId="390692B3" w:rsidR="00F01E18" w:rsidRPr="00D029D4" w:rsidRDefault="00F01E18" w:rsidP="00D029D4">
            <w:pPr>
              <w:pStyle w:val="TAL"/>
              <w:ind w:left="0"/>
              <w:rPr>
                <w:rFonts w:eastAsiaTheme="minorEastAsia" w:cs="Arial"/>
                <w:color w:val="000000"/>
                <w:lang w:eastAsia="zh-CN"/>
              </w:rPr>
            </w:pPr>
            <w:r>
              <w:rPr>
                <w:rFonts w:eastAsiaTheme="minorEastAsia" w:cs="Arial" w:hint="eastAsia"/>
                <w:color w:val="000000"/>
                <w:lang w:eastAsia="zh-CN"/>
              </w:rPr>
              <w:t>T</w:t>
            </w:r>
            <w:r>
              <w:rPr>
                <w:rFonts w:eastAsiaTheme="minorEastAsia" w:cs="Arial"/>
                <w:color w:val="000000"/>
                <w:lang w:eastAsia="zh-CN"/>
              </w:rPr>
              <w:t xml:space="preserve">he DL subframes of pattern are fixed to subframes </w:t>
            </w:r>
            <w:r>
              <w:rPr>
                <w:rFonts w:eastAsiaTheme="minorEastAsia" w:cs="Arial" w:hint="eastAsia"/>
                <w:color w:val="000000"/>
                <w:lang w:eastAsia="zh-CN"/>
              </w:rPr>
              <w:t>[</w:t>
            </w:r>
            <w:r>
              <w:rPr>
                <w:rFonts w:eastAsiaTheme="minorEastAsia" w:cs="Arial"/>
                <w:color w:val="000000"/>
                <w:lang w:eastAsia="zh-CN"/>
              </w:rPr>
              <w:t>3 4 5 6 7 8 9 0] across two consecutive radio frames.</w:t>
            </w:r>
          </w:p>
        </w:tc>
        <w:tc>
          <w:tcPr>
            <w:tcW w:w="892" w:type="dxa"/>
            <w:tcBorders>
              <w:top w:val="single" w:sz="4" w:space="0" w:color="auto"/>
              <w:left w:val="nil"/>
              <w:bottom w:val="single" w:sz="4" w:space="0" w:color="auto"/>
              <w:right w:val="single" w:sz="4" w:space="0" w:color="auto"/>
            </w:tcBorders>
            <w:hideMark/>
          </w:tcPr>
          <w:p w14:paraId="6F95DAD0" w14:textId="36CEE710" w:rsidR="00F01E18" w:rsidRDefault="00F01E18" w:rsidP="00F01E18">
            <w:pPr>
              <w:pStyle w:val="TAL"/>
              <w:ind w:left="0"/>
              <w:rPr>
                <w:rFonts w:eastAsia="MS Mincho" w:cs="Arial"/>
                <w:color w:val="000000"/>
                <w:szCs w:val="18"/>
              </w:rPr>
            </w:pPr>
            <w:r>
              <w:rPr>
                <w:rFonts w:cs="Arial"/>
                <w:color w:val="000000"/>
              </w:rPr>
              <w:t>Rel. 17 2-1b</w:t>
            </w:r>
          </w:p>
        </w:tc>
        <w:tc>
          <w:tcPr>
            <w:tcW w:w="851" w:type="dxa"/>
            <w:tcBorders>
              <w:top w:val="single" w:sz="4" w:space="0" w:color="auto"/>
              <w:left w:val="nil"/>
              <w:bottom w:val="single" w:sz="4" w:space="0" w:color="auto"/>
              <w:right w:val="single" w:sz="4" w:space="0" w:color="auto"/>
            </w:tcBorders>
            <w:hideMark/>
          </w:tcPr>
          <w:p w14:paraId="62F8561F" w14:textId="77777777" w:rsidR="00F01E18" w:rsidRDefault="00F01E18" w:rsidP="00F01E18">
            <w:pPr>
              <w:pStyle w:val="TAL"/>
              <w:ind w:left="0"/>
              <w:rPr>
                <w:rFonts w:eastAsia="宋体" w:cs="Arial"/>
                <w:color w:val="000000"/>
              </w:rPr>
            </w:pPr>
            <w:r>
              <w:rPr>
                <w:rFonts w:cs="Arial"/>
                <w:color w:val="000000"/>
              </w:rPr>
              <w:t>Yes</w:t>
            </w:r>
          </w:p>
        </w:tc>
        <w:tc>
          <w:tcPr>
            <w:tcW w:w="1566" w:type="dxa"/>
            <w:tcBorders>
              <w:top w:val="single" w:sz="4" w:space="0" w:color="auto"/>
              <w:left w:val="nil"/>
              <w:bottom w:val="single" w:sz="4" w:space="0" w:color="auto"/>
              <w:right w:val="single" w:sz="4" w:space="0" w:color="auto"/>
            </w:tcBorders>
            <w:hideMark/>
          </w:tcPr>
          <w:p w14:paraId="6C0CC724" w14:textId="77777777" w:rsidR="00F01E18" w:rsidRDefault="00F01E18" w:rsidP="00F01E18">
            <w:pPr>
              <w:pStyle w:val="TAL"/>
              <w:ind w:left="0"/>
              <w:rPr>
                <w:rFonts w:cs="Arial"/>
                <w:color w:val="000000"/>
              </w:rPr>
            </w:pPr>
            <w:r>
              <w:rPr>
                <w:rFonts w:cs="Arial"/>
                <w:color w:val="000000"/>
              </w:rPr>
              <w:t>N/A</w:t>
            </w:r>
          </w:p>
        </w:tc>
        <w:tc>
          <w:tcPr>
            <w:tcW w:w="1439" w:type="dxa"/>
            <w:tcBorders>
              <w:top w:val="single" w:sz="4" w:space="0" w:color="auto"/>
              <w:left w:val="nil"/>
              <w:bottom w:val="single" w:sz="4" w:space="0" w:color="auto"/>
              <w:right w:val="single" w:sz="4" w:space="0" w:color="auto"/>
            </w:tcBorders>
            <w:hideMark/>
          </w:tcPr>
          <w:p w14:paraId="41408ECA" w14:textId="73F7824C" w:rsidR="00F01E18" w:rsidRDefault="00F01E18" w:rsidP="00F01E18">
            <w:pPr>
              <w:pStyle w:val="TAL"/>
              <w:ind w:left="0"/>
              <w:rPr>
                <w:rFonts w:cs="Arial"/>
                <w:color w:val="000000"/>
              </w:rPr>
            </w:pPr>
            <w:r w:rsidRPr="0044727D">
              <w:rPr>
                <w:rFonts w:cs="Arial"/>
                <w:color w:val="000000"/>
              </w:rPr>
              <w:t xml:space="preserve">UE </w:t>
            </w:r>
            <w:r>
              <w:rPr>
                <w:rFonts w:cs="Arial"/>
                <w:color w:val="000000"/>
              </w:rPr>
              <w:t>does not support IoT-NTN TDD mode</w:t>
            </w:r>
          </w:p>
        </w:tc>
        <w:tc>
          <w:tcPr>
            <w:tcW w:w="1537" w:type="dxa"/>
            <w:tcBorders>
              <w:top w:val="single" w:sz="4" w:space="0" w:color="auto"/>
              <w:left w:val="nil"/>
              <w:bottom w:val="single" w:sz="4" w:space="0" w:color="auto"/>
              <w:right w:val="single" w:sz="4" w:space="0" w:color="auto"/>
            </w:tcBorders>
            <w:hideMark/>
          </w:tcPr>
          <w:p w14:paraId="64B2A5A3" w14:textId="1A8BE0BE" w:rsidR="00F01E18" w:rsidRDefault="00D40246" w:rsidP="00F01E18">
            <w:pPr>
              <w:pStyle w:val="TAL"/>
              <w:ind w:left="0"/>
              <w:rPr>
                <w:rFonts w:eastAsia="宋体" w:cs="Arial"/>
                <w:color w:val="000000"/>
              </w:rPr>
            </w:pPr>
            <w:r>
              <w:rPr>
                <w:rFonts w:cs="Arial"/>
                <w:color w:val="000000"/>
              </w:rPr>
              <w:t>Per Band</w:t>
            </w:r>
          </w:p>
        </w:tc>
        <w:tc>
          <w:tcPr>
            <w:tcW w:w="851" w:type="dxa"/>
            <w:tcBorders>
              <w:top w:val="single" w:sz="4" w:space="0" w:color="auto"/>
              <w:left w:val="nil"/>
              <w:bottom w:val="single" w:sz="4" w:space="0" w:color="auto"/>
              <w:right w:val="single" w:sz="4" w:space="0" w:color="auto"/>
            </w:tcBorders>
            <w:hideMark/>
          </w:tcPr>
          <w:p w14:paraId="34893848" w14:textId="2122DA7E" w:rsidR="00F01E18" w:rsidRDefault="00374067" w:rsidP="00F01E18">
            <w:pPr>
              <w:pStyle w:val="TAL"/>
              <w:ind w:left="0"/>
              <w:rPr>
                <w:rFonts w:cs="Arial"/>
                <w:color w:val="000000"/>
              </w:rPr>
            </w:pPr>
            <w:r>
              <w:rPr>
                <w:rFonts w:cs="Arial"/>
                <w:color w:val="000000"/>
              </w:rPr>
              <w:t>TDD only</w:t>
            </w:r>
            <w:bookmarkStart w:id="5" w:name="_GoBack"/>
            <w:bookmarkEnd w:id="5"/>
          </w:p>
        </w:tc>
        <w:tc>
          <w:tcPr>
            <w:tcW w:w="1276" w:type="dxa"/>
            <w:tcBorders>
              <w:top w:val="single" w:sz="4" w:space="0" w:color="auto"/>
              <w:left w:val="nil"/>
              <w:bottom w:val="single" w:sz="4" w:space="0" w:color="auto"/>
              <w:right w:val="single" w:sz="4" w:space="0" w:color="auto"/>
            </w:tcBorders>
            <w:hideMark/>
          </w:tcPr>
          <w:p w14:paraId="0F40E260" w14:textId="77777777" w:rsidR="00F01E18" w:rsidRDefault="00F01E18" w:rsidP="00F01E18">
            <w:pPr>
              <w:pStyle w:val="TAL"/>
              <w:ind w:left="0"/>
              <w:rPr>
                <w:rFonts w:cs="Arial"/>
                <w:color w:val="000000"/>
              </w:rPr>
            </w:pPr>
            <w:r>
              <w:rPr>
                <w:rFonts w:cs="Arial"/>
                <w:color w:val="000000"/>
              </w:rPr>
              <w:t>No</w:t>
            </w:r>
          </w:p>
        </w:tc>
        <w:tc>
          <w:tcPr>
            <w:tcW w:w="3111" w:type="dxa"/>
            <w:tcBorders>
              <w:top w:val="single" w:sz="4" w:space="0" w:color="auto"/>
              <w:left w:val="nil"/>
              <w:bottom w:val="single" w:sz="4" w:space="0" w:color="auto"/>
              <w:right w:val="single" w:sz="4" w:space="0" w:color="auto"/>
            </w:tcBorders>
          </w:tcPr>
          <w:p w14:paraId="034EE1D2" w14:textId="15EDDFC7" w:rsidR="00F01E18" w:rsidRDefault="00F01E18" w:rsidP="00F01E18">
            <w:pPr>
              <w:pStyle w:val="TAL"/>
              <w:ind w:left="0"/>
              <w:rPr>
                <w:rFonts w:cs="Arial"/>
                <w:strike/>
                <w:color w:val="000000"/>
              </w:rPr>
            </w:pPr>
            <w:r w:rsidRPr="004D3618">
              <w:rPr>
                <w:rFonts w:cs="Arial"/>
                <w:color w:val="000000"/>
              </w:rPr>
              <w:t xml:space="preserve">Note: This UE feature group is applicable only for </w:t>
            </w:r>
            <w:r>
              <w:t>1616-1626.5 MHz MSS allocated band</w:t>
            </w:r>
          </w:p>
        </w:tc>
        <w:tc>
          <w:tcPr>
            <w:tcW w:w="1128" w:type="dxa"/>
            <w:tcBorders>
              <w:top w:val="single" w:sz="4" w:space="0" w:color="auto"/>
              <w:left w:val="nil"/>
              <w:bottom w:val="single" w:sz="4" w:space="0" w:color="auto"/>
              <w:right w:val="single" w:sz="4" w:space="0" w:color="auto"/>
            </w:tcBorders>
            <w:hideMark/>
          </w:tcPr>
          <w:p w14:paraId="6B31A763" w14:textId="7CE59249" w:rsidR="00F01E18" w:rsidRDefault="00F01E18" w:rsidP="00F01E18">
            <w:pPr>
              <w:pStyle w:val="TAL"/>
              <w:ind w:left="0"/>
              <w:rPr>
                <w:rFonts w:cs="Arial"/>
                <w:color w:val="000000"/>
              </w:rPr>
            </w:pPr>
            <w:r w:rsidRPr="0044727D">
              <w:rPr>
                <w:rFonts w:cs="Arial"/>
                <w:color w:val="000000"/>
              </w:rPr>
              <w:t xml:space="preserve">Optional with capability </w:t>
            </w:r>
            <w:r w:rsidR="00D029D4">
              <w:rPr>
                <w:rFonts w:cs="Arial"/>
                <w:color w:val="000000"/>
              </w:rPr>
              <w:t>signalling</w:t>
            </w:r>
          </w:p>
          <w:p w14:paraId="796DB501" w14:textId="77777777" w:rsidR="00D029D4" w:rsidRDefault="00D029D4" w:rsidP="00F01E18">
            <w:pPr>
              <w:pStyle w:val="TAL"/>
              <w:ind w:left="0"/>
              <w:rPr>
                <w:rFonts w:cs="Arial"/>
                <w:color w:val="000000"/>
              </w:rPr>
            </w:pPr>
          </w:p>
          <w:p w14:paraId="0439F31C" w14:textId="29E7EB93" w:rsidR="00D029D4" w:rsidRPr="00D029D4" w:rsidRDefault="00D029D4" w:rsidP="00F01E18">
            <w:pPr>
              <w:pStyle w:val="TAL"/>
              <w:ind w:left="0"/>
              <w:rPr>
                <w:rFonts w:eastAsiaTheme="minorEastAsia" w:cs="Arial"/>
                <w:color w:val="000000"/>
                <w:lang w:eastAsia="zh-CN"/>
              </w:rPr>
            </w:pPr>
            <w:r>
              <w:rPr>
                <w:rFonts w:eastAsiaTheme="minorEastAsia" w:cs="Arial" w:hint="eastAsia"/>
                <w:color w:val="000000"/>
                <w:lang w:eastAsia="zh-CN"/>
              </w:rPr>
              <w:t>A</w:t>
            </w:r>
            <w:r>
              <w:rPr>
                <w:rFonts w:eastAsiaTheme="minorEastAsia" w:cs="Arial"/>
                <w:color w:val="000000"/>
                <w:lang w:eastAsia="zh-CN"/>
              </w:rPr>
              <w:t xml:space="preserve"> UE supports access to </w:t>
            </w:r>
            <w:r w:rsidR="00F657D0">
              <w:rPr>
                <w:rFonts w:eastAsiaTheme="minorEastAsia" w:cs="Arial"/>
                <w:color w:val="000000"/>
                <w:lang w:eastAsia="zh-CN"/>
              </w:rPr>
              <w:t xml:space="preserve">satellite in </w:t>
            </w:r>
            <w:r w:rsidR="00F657D0">
              <w:t>1616-1626.5 MHz MSS allocated band must support this FG</w:t>
            </w:r>
          </w:p>
        </w:tc>
      </w:tr>
    </w:tbl>
    <w:p w14:paraId="46645C72" w14:textId="77777777" w:rsidR="00F01E18" w:rsidRPr="00F01E18" w:rsidRDefault="00F01E18" w:rsidP="00F01E18">
      <w:pPr>
        <w:rPr>
          <w:rFonts w:eastAsiaTheme="minorEastAsia"/>
          <w:lang w:val="en-GB" w:eastAsia="zh-CN"/>
        </w:rPr>
      </w:pPr>
    </w:p>
    <w:p w14:paraId="21584914" w14:textId="77777777" w:rsidR="0033686A" w:rsidRDefault="0033686A">
      <w:pPr>
        <w:numPr>
          <w:ilvl w:val="255"/>
          <w:numId w:val="0"/>
        </w:numPr>
        <w:spacing w:after="0" w:line="240" w:lineRule="auto"/>
        <w:rPr>
          <w:lang w:val="en-GB" w:eastAsia="zh-CN"/>
        </w:rPr>
      </w:pPr>
    </w:p>
    <w:p w14:paraId="5E36217A" w14:textId="77777777" w:rsidR="0033686A" w:rsidRDefault="0033686A">
      <w:pPr>
        <w:jc w:val="center"/>
        <w:rPr>
          <w:lang w:eastAsia="zh-CN"/>
        </w:rPr>
      </w:pPr>
    </w:p>
    <w:p w14:paraId="5DAF25FA" w14:textId="77777777" w:rsidR="0033686A" w:rsidRDefault="00792793">
      <w:pPr>
        <w:tabs>
          <w:tab w:val="center" w:pos="6712"/>
        </w:tabs>
        <w:rPr>
          <w:lang w:eastAsia="zh-CN"/>
        </w:rPr>
        <w:sectPr w:rsidR="0033686A">
          <w:pgSz w:w="23814" w:h="16840" w:orient="landscape"/>
          <w:pgMar w:top="1418" w:right="1418" w:bottom="1418" w:left="1418" w:header="709" w:footer="709" w:gutter="0"/>
          <w:cols w:space="720"/>
          <w:docGrid w:linePitch="360"/>
        </w:sectPr>
      </w:pPr>
      <w:r>
        <w:rPr>
          <w:lang w:eastAsia="zh-CN"/>
        </w:rPr>
        <w:tab/>
      </w:r>
    </w:p>
    <w:bookmarkEnd w:id="3"/>
    <w:p w14:paraId="2350CDCD" w14:textId="77777777" w:rsidR="0033686A" w:rsidRDefault="00792793">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EA2CCD3" w14:textId="6F991A43" w:rsidR="0033686A" w:rsidRPr="0062472D" w:rsidRDefault="00BC7345" w:rsidP="0062472D">
      <w:pPr>
        <w:pStyle w:val="ListParagraph1"/>
        <w:numPr>
          <w:ilvl w:val="0"/>
          <w:numId w:val="6"/>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sidRPr="00BC7345">
        <w:rPr>
          <w:rFonts w:eastAsia="宋体"/>
          <w:lang w:eastAsia="zh-CN"/>
        </w:rPr>
        <w:t>R1-2501367</w:t>
      </w:r>
      <w:r w:rsidR="00792793">
        <w:rPr>
          <w:rFonts w:eastAsia="宋体" w:hint="eastAsia"/>
          <w:lang w:eastAsia="zh-CN"/>
        </w:rPr>
        <w:t xml:space="preserve">, </w:t>
      </w:r>
      <w:bookmarkEnd w:id="6"/>
      <w:r w:rsidRPr="00BC7345">
        <w:t>Feature lead summary #2 on IoT-NTN TDD mode</w:t>
      </w:r>
      <w:r w:rsidR="00792793">
        <w:t>, RAN1#1</w:t>
      </w:r>
      <w:bookmarkEnd w:id="7"/>
      <w:r>
        <w:t>20</w:t>
      </w:r>
    </w:p>
    <w:bookmarkEnd w:id="8"/>
    <w:bookmarkEnd w:id="9"/>
    <w:bookmarkEnd w:id="10"/>
    <w:p w14:paraId="06989253" w14:textId="77777777" w:rsidR="0033686A" w:rsidRDefault="0033686A">
      <w:pPr>
        <w:spacing w:after="0" w:line="240" w:lineRule="auto"/>
        <w:ind w:left="0"/>
        <w:rPr>
          <w:lang w:eastAsia="zh-CN"/>
        </w:rPr>
      </w:pPr>
    </w:p>
    <w:sectPr w:rsidR="0033686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36D83" w14:textId="77777777" w:rsidR="004848E7" w:rsidRDefault="004848E7">
      <w:pPr>
        <w:spacing w:line="240" w:lineRule="auto"/>
      </w:pPr>
      <w:r>
        <w:separator/>
      </w:r>
    </w:p>
  </w:endnote>
  <w:endnote w:type="continuationSeparator" w:id="0">
    <w:p w14:paraId="0239F733" w14:textId="77777777" w:rsidR="004848E7" w:rsidRDefault="00484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5E5A" w14:textId="77777777" w:rsidR="0033686A" w:rsidRDefault="0033686A">
    <w:pPr>
      <w:pStyle w:val="af4"/>
      <w:jc w:val="center"/>
    </w:pPr>
  </w:p>
  <w:p w14:paraId="6F178C44" w14:textId="77777777" w:rsidR="0033686A" w:rsidRDefault="0033686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CA155" w14:textId="77777777" w:rsidR="004848E7" w:rsidRDefault="004848E7">
      <w:pPr>
        <w:spacing w:after="0"/>
      </w:pPr>
      <w:r>
        <w:separator/>
      </w:r>
    </w:p>
  </w:footnote>
  <w:footnote w:type="continuationSeparator" w:id="0">
    <w:p w14:paraId="17BA54C6" w14:textId="77777777" w:rsidR="004848E7" w:rsidRDefault="00484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0E67E2"/>
    <w:multiLevelType w:val="multilevel"/>
    <w:tmpl w:val="1130AA5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8B548A2"/>
    <w:multiLevelType w:val="multilevel"/>
    <w:tmpl w:val="8A9E377A"/>
    <w:lvl w:ilvl="0">
      <w:numFmt w:val="bullet"/>
      <w:lvlText w:val="•"/>
      <w:lvlJc w:val="left"/>
      <w:pPr>
        <w:tabs>
          <w:tab w:val="num" w:pos="0"/>
        </w:tabs>
        <w:ind w:left="846" w:hanging="420"/>
      </w:pPr>
      <w:rPr>
        <w:rFonts w:ascii="Times"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hint="default"/>
      </w:rPr>
    </w:lvl>
    <w:lvl w:ilvl="5">
      <w:start w:val="1"/>
      <w:numFmt w:val="bullet"/>
      <w:lvlText w:val=""/>
      <w:lvlJc w:val="left"/>
      <w:pPr>
        <w:tabs>
          <w:tab w:val="num" w:pos="0"/>
        </w:tabs>
        <w:ind w:left="2946" w:hanging="420"/>
      </w:pPr>
      <w:rPr>
        <w:rFonts w:ascii="Wingdings" w:hAnsi="Wingdings" w:hint="default"/>
      </w:rPr>
    </w:lvl>
    <w:lvl w:ilvl="6">
      <w:start w:val="1"/>
      <w:numFmt w:val="bullet"/>
      <w:lvlText w:val=""/>
      <w:lvlJc w:val="left"/>
      <w:pPr>
        <w:tabs>
          <w:tab w:val="num" w:pos="0"/>
        </w:tabs>
        <w:ind w:left="3366" w:hanging="420"/>
      </w:pPr>
      <w:rPr>
        <w:rFonts w:ascii="Wingdings" w:hAnsi="Wingdings" w:hint="default"/>
      </w:rPr>
    </w:lvl>
    <w:lvl w:ilvl="7">
      <w:start w:val="1"/>
      <w:numFmt w:val="bullet"/>
      <w:lvlText w:val=""/>
      <w:lvlJc w:val="left"/>
      <w:pPr>
        <w:tabs>
          <w:tab w:val="num" w:pos="0"/>
        </w:tabs>
        <w:ind w:left="3786" w:hanging="420"/>
      </w:pPr>
      <w:rPr>
        <w:rFonts w:ascii="Wingdings" w:hAnsi="Wingdings" w:hint="default"/>
      </w:rPr>
    </w:lvl>
    <w:lvl w:ilvl="8">
      <w:start w:val="1"/>
      <w:numFmt w:val="bullet"/>
      <w:lvlText w:val=""/>
      <w:lvlJc w:val="left"/>
      <w:pPr>
        <w:tabs>
          <w:tab w:val="num" w:pos="0"/>
        </w:tabs>
        <w:ind w:left="4206" w:hanging="420"/>
      </w:pPr>
      <w:rPr>
        <w:rFonts w:ascii="Wingdings" w:hAnsi="Wingdings" w:hint="default"/>
      </w:rPr>
    </w:lvl>
  </w:abstractNum>
  <w:abstractNum w:abstractNumId="3" w15:restartNumberingAfterBreak="0">
    <w:nsid w:val="09EB1D93"/>
    <w:multiLevelType w:val="multilevel"/>
    <w:tmpl w:val="AE0228E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 w15:restartNumberingAfterBreak="0">
    <w:nsid w:val="0C071B78"/>
    <w:multiLevelType w:val="multilevel"/>
    <w:tmpl w:val="F71A2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896772B"/>
    <w:multiLevelType w:val="hybridMultilevel"/>
    <w:tmpl w:val="F7FE5B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44F73"/>
    <w:multiLevelType w:val="multilevel"/>
    <w:tmpl w:val="8F9E1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CC2057"/>
    <w:multiLevelType w:val="multilevel"/>
    <w:tmpl w:val="BBE498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965724"/>
    <w:multiLevelType w:val="multilevel"/>
    <w:tmpl w:val="7A70AC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4" w15:restartNumberingAfterBreak="0">
    <w:nsid w:val="4A4919DA"/>
    <w:multiLevelType w:val="multilevel"/>
    <w:tmpl w:val="E274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1553EC"/>
    <w:multiLevelType w:val="multilevel"/>
    <w:tmpl w:val="ABCC1C4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7" w15:restartNumberingAfterBreak="0">
    <w:nsid w:val="50980EED"/>
    <w:multiLevelType w:val="multilevel"/>
    <w:tmpl w:val="7C6CCBBC"/>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15:restartNumberingAfterBreak="0">
    <w:nsid w:val="5DF84611"/>
    <w:multiLevelType w:val="multilevel"/>
    <w:tmpl w:val="9B964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0D00C3"/>
    <w:multiLevelType w:val="hybridMultilevel"/>
    <w:tmpl w:val="F17E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A968C7"/>
    <w:multiLevelType w:val="hybridMultilevel"/>
    <w:tmpl w:val="B16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922D5F"/>
    <w:multiLevelType w:val="hybridMultilevel"/>
    <w:tmpl w:val="E6C83A68"/>
    <w:lvl w:ilvl="0" w:tplc="F774B540">
      <w:start w:val="1"/>
      <w:numFmt w:val="decimal"/>
      <w:lvlText w:val="%1."/>
      <w:lvlJc w:val="left"/>
      <w:pPr>
        <w:ind w:left="324" w:hanging="360"/>
      </w:pPr>
      <w:rPr>
        <w:rFonts w:hint="default"/>
      </w:rPr>
    </w:lvl>
    <w:lvl w:ilvl="1" w:tplc="04090019">
      <w:start w:val="1"/>
      <w:numFmt w:val="lowerLetter"/>
      <w:lvlText w:val="%2)"/>
      <w:lvlJc w:val="left"/>
      <w:pPr>
        <w:ind w:left="804" w:hanging="420"/>
      </w:pPr>
    </w:lvl>
    <w:lvl w:ilvl="2" w:tplc="0409001B" w:tentative="1">
      <w:start w:val="1"/>
      <w:numFmt w:val="lowerRoman"/>
      <w:lvlText w:val="%3."/>
      <w:lvlJc w:val="right"/>
      <w:pPr>
        <w:ind w:left="1224" w:hanging="420"/>
      </w:pPr>
    </w:lvl>
    <w:lvl w:ilvl="3" w:tplc="0409000F" w:tentative="1">
      <w:start w:val="1"/>
      <w:numFmt w:val="decimal"/>
      <w:lvlText w:val="%4."/>
      <w:lvlJc w:val="left"/>
      <w:pPr>
        <w:ind w:left="1644" w:hanging="420"/>
      </w:pPr>
    </w:lvl>
    <w:lvl w:ilvl="4" w:tplc="04090019" w:tentative="1">
      <w:start w:val="1"/>
      <w:numFmt w:val="lowerLetter"/>
      <w:lvlText w:val="%5)"/>
      <w:lvlJc w:val="left"/>
      <w:pPr>
        <w:ind w:left="206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904" w:hanging="420"/>
      </w:pPr>
    </w:lvl>
    <w:lvl w:ilvl="7" w:tplc="04090019" w:tentative="1">
      <w:start w:val="1"/>
      <w:numFmt w:val="lowerLetter"/>
      <w:lvlText w:val="%8)"/>
      <w:lvlJc w:val="left"/>
      <w:pPr>
        <w:ind w:left="3324" w:hanging="420"/>
      </w:pPr>
    </w:lvl>
    <w:lvl w:ilvl="8" w:tplc="0409001B" w:tentative="1">
      <w:start w:val="1"/>
      <w:numFmt w:val="lowerRoman"/>
      <w:lvlText w:val="%9."/>
      <w:lvlJc w:val="right"/>
      <w:pPr>
        <w:ind w:left="3744" w:hanging="420"/>
      </w:pPr>
    </w:lvl>
  </w:abstractNum>
  <w:abstractNum w:abstractNumId="22" w15:restartNumberingAfterBreak="0">
    <w:nsid w:val="7AD62E6D"/>
    <w:multiLevelType w:val="multilevel"/>
    <w:tmpl w:val="6E86A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20"/>
  </w:num>
  <w:num w:numId="9">
    <w:abstractNumId w:val="19"/>
  </w:num>
  <w:num w:numId="10">
    <w:abstractNumId w:val="6"/>
  </w:num>
  <w:num w:numId="11">
    <w:abstractNumId w:val="9"/>
  </w:num>
  <w:num w:numId="12">
    <w:abstractNumId w:val="17"/>
  </w:num>
  <w:num w:numId="13">
    <w:abstractNumId w:val="3"/>
  </w:num>
  <w:num w:numId="14">
    <w:abstractNumId w:val="11"/>
  </w:num>
  <w:num w:numId="15">
    <w:abstractNumId w:val="2"/>
  </w:num>
  <w:num w:numId="16">
    <w:abstractNumId w:val="16"/>
  </w:num>
  <w:num w:numId="17">
    <w:abstractNumId w:val="1"/>
  </w:num>
  <w:num w:numId="18">
    <w:abstractNumId w:val="22"/>
  </w:num>
  <w:num w:numId="19">
    <w:abstractNumId w:val="14"/>
  </w:num>
  <w:num w:numId="20">
    <w:abstractNumId w:val="18"/>
  </w:num>
  <w:num w:numId="21">
    <w:abstractNumId w:val="4"/>
  </w:num>
  <w:num w:numId="22">
    <w:abstractNumId w:val="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A0"/>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6CE"/>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58B"/>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209"/>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067"/>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83B"/>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8E7"/>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AEF"/>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985"/>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4D"/>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3E0"/>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345"/>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0A0"/>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29D4"/>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46"/>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6DC5"/>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2F3A"/>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1E18"/>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6FBE"/>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57D0"/>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12A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 w:type="paragraph" w:customStyle="1" w:styleId="33">
    <w:name w:val="正文3"/>
    <w:rsid w:val="000D55A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6417">
      <w:bodyDiv w:val="1"/>
      <w:marLeft w:val="0"/>
      <w:marRight w:val="0"/>
      <w:marTop w:val="0"/>
      <w:marBottom w:val="0"/>
      <w:divBdr>
        <w:top w:val="none" w:sz="0" w:space="0" w:color="auto"/>
        <w:left w:val="none" w:sz="0" w:space="0" w:color="auto"/>
        <w:bottom w:val="none" w:sz="0" w:space="0" w:color="auto"/>
        <w:right w:val="none" w:sz="0" w:space="0" w:color="auto"/>
      </w:divBdr>
    </w:div>
    <w:div w:id="293020718">
      <w:bodyDiv w:val="1"/>
      <w:marLeft w:val="0"/>
      <w:marRight w:val="0"/>
      <w:marTop w:val="0"/>
      <w:marBottom w:val="0"/>
      <w:divBdr>
        <w:top w:val="none" w:sz="0" w:space="0" w:color="auto"/>
        <w:left w:val="none" w:sz="0" w:space="0" w:color="auto"/>
        <w:bottom w:val="none" w:sz="0" w:space="0" w:color="auto"/>
        <w:right w:val="none" w:sz="0" w:space="0" w:color="auto"/>
      </w:divBdr>
    </w:div>
    <w:div w:id="350375800">
      <w:bodyDiv w:val="1"/>
      <w:marLeft w:val="0"/>
      <w:marRight w:val="0"/>
      <w:marTop w:val="0"/>
      <w:marBottom w:val="0"/>
      <w:divBdr>
        <w:top w:val="none" w:sz="0" w:space="0" w:color="auto"/>
        <w:left w:val="none" w:sz="0" w:space="0" w:color="auto"/>
        <w:bottom w:val="none" w:sz="0" w:space="0" w:color="auto"/>
        <w:right w:val="none" w:sz="0" w:space="0" w:color="auto"/>
      </w:divBdr>
    </w:div>
    <w:div w:id="456459032">
      <w:bodyDiv w:val="1"/>
      <w:marLeft w:val="0"/>
      <w:marRight w:val="0"/>
      <w:marTop w:val="0"/>
      <w:marBottom w:val="0"/>
      <w:divBdr>
        <w:top w:val="none" w:sz="0" w:space="0" w:color="auto"/>
        <w:left w:val="none" w:sz="0" w:space="0" w:color="auto"/>
        <w:bottom w:val="none" w:sz="0" w:space="0" w:color="auto"/>
        <w:right w:val="none" w:sz="0" w:space="0" w:color="auto"/>
      </w:divBdr>
    </w:div>
    <w:div w:id="457377590">
      <w:bodyDiv w:val="1"/>
      <w:marLeft w:val="0"/>
      <w:marRight w:val="0"/>
      <w:marTop w:val="0"/>
      <w:marBottom w:val="0"/>
      <w:divBdr>
        <w:top w:val="none" w:sz="0" w:space="0" w:color="auto"/>
        <w:left w:val="none" w:sz="0" w:space="0" w:color="auto"/>
        <w:bottom w:val="none" w:sz="0" w:space="0" w:color="auto"/>
        <w:right w:val="none" w:sz="0" w:space="0" w:color="auto"/>
      </w:divBdr>
    </w:div>
    <w:div w:id="484780572">
      <w:bodyDiv w:val="1"/>
      <w:marLeft w:val="0"/>
      <w:marRight w:val="0"/>
      <w:marTop w:val="0"/>
      <w:marBottom w:val="0"/>
      <w:divBdr>
        <w:top w:val="none" w:sz="0" w:space="0" w:color="auto"/>
        <w:left w:val="none" w:sz="0" w:space="0" w:color="auto"/>
        <w:bottom w:val="none" w:sz="0" w:space="0" w:color="auto"/>
        <w:right w:val="none" w:sz="0" w:space="0" w:color="auto"/>
      </w:divBdr>
    </w:div>
    <w:div w:id="644428192">
      <w:bodyDiv w:val="1"/>
      <w:marLeft w:val="0"/>
      <w:marRight w:val="0"/>
      <w:marTop w:val="0"/>
      <w:marBottom w:val="0"/>
      <w:divBdr>
        <w:top w:val="none" w:sz="0" w:space="0" w:color="auto"/>
        <w:left w:val="none" w:sz="0" w:space="0" w:color="auto"/>
        <w:bottom w:val="none" w:sz="0" w:space="0" w:color="auto"/>
        <w:right w:val="none" w:sz="0" w:space="0" w:color="auto"/>
      </w:divBdr>
    </w:div>
    <w:div w:id="789205612">
      <w:bodyDiv w:val="1"/>
      <w:marLeft w:val="0"/>
      <w:marRight w:val="0"/>
      <w:marTop w:val="0"/>
      <w:marBottom w:val="0"/>
      <w:divBdr>
        <w:top w:val="none" w:sz="0" w:space="0" w:color="auto"/>
        <w:left w:val="none" w:sz="0" w:space="0" w:color="auto"/>
        <w:bottom w:val="none" w:sz="0" w:space="0" w:color="auto"/>
        <w:right w:val="none" w:sz="0" w:space="0" w:color="auto"/>
      </w:divBdr>
    </w:div>
    <w:div w:id="850870825">
      <w:bodyDiv w:val="1"/>
      <w:marLeft w:val="0"/>
      <w:marRight w:val="0"/>
      <w:marTop w:val="0"/>
      <w:marBottom w:val="0"/>
      <w:divBdr>
        <w:top w:val="none" w:sz="0" w:space="0" w:color="auto"/>
        <w:left w:val="none" w:sz="0" w:space="0" w:color="auto"/>
        <w:bottom w:val="none" w:sz="0" w:space="0" w:color="auto"/>
        <w:right w:val="none" w:sz="0" w:space="0" w:color="auto"/>
      </w:divBdr>
    </w:div>
    <w:div w:id="854658975">
      <w:bodyDiv w:val="1"/>
      <w:marLeft w:val="0"/>
      <w:marRight w:val="0"/>
      <w:marTop w:val="0"/>
      <w:marBottom w:val="0"/>
      <w:divBdr>
        <w:top w:val="none" w:sz="0" w:space="0" w:color="auto"/>
        <w:left w:val="none" w:sz="0" w:space="0" w:color="auto"/>
        <w:bottom w:val="none" w:sz="0" w:space="0" w:color="auto"/>
        <w:right w:val="none" w:sz="0" w:space="0" w:color="auto"/>
      </w:divBdr>
    </w:div>
    <w:div w:id="875316363">
      <w:bodyDiv w:val="1"/>
      <w:marLeft w:val="0"/>
      <w:marRight w:val="0"/>
      <w:marTop w:val="0"/>
      <w:marBottom w:val="0"/>
      <w:divBdr>
        <w:top w:val="none" w:sz="0" w:space="0" w:color="auto"/>
        <w:left w:val="none" w:sz="0" w:space="0" w:color="auto"/>
        <w:bottom w:val="none" w:sz="0" w:space="0" w:color="auto"/>
        <w:right w:val="none" w:sz="0" w:space="0" w:color="auto"/>
      </w:divBdr>
    </w:div>
    <w:div w:id="1035620271">
      <w:bodyDiv w:val="1"/>
      <w:marLeft w:val="0"/>
      <w:marRight w:val="0"/>
      <w:marTop w:val="0"/>
      <w:marBottom w:val="0"/>
      <w:divBdr>
        <w:top w:val="none" w:sz="0" w:space="0" w:color="auto"/>
        <w:left w:val="none" w:sz="0" w:space="0" w:color="auto"/>
        <w:bottom w:val="none" w:sz="0" w:space="0" w:color="auto"/>
        <w:right w:val="none" w:sz="0" w:space="0" w:color="auto"/>
      </w:divBdr>
    </w:div>
    <w:div w:id="1097553454">
      <w:bodyDiv w:val="1"/>
      <w:marLeft w:val="0"/>
      <w:marRight w:val="0"/>
      <w:marTop w:val="0"/>
      <w:marBottom w:val="0"/>
      <w:divBdr>
        <w:top w:val="none" w:sz="0" w:space="0" w:color="auto"/>
        <w:left w:val="none" w:sz="0" w:space="0" w:color="auto"/>
        <w:bottom w:val="none" w:sz="0" w:space="0" w:color="auto"/>
        <w:right w:val="none" w:sz="0" w:space="0" w:color="auto"/>
      </w:divBdr>
    </w:div>
    <w:div w:id="1210220100">
      <w:bodyDiv w:val="1"/>
      <w:marLeft w:val="0"/>
      <w:marRight w:val="0"/>
      <w:marTop w:val="0"/>
      <w:marBottom w:val="0"/>
      <w:divBdr>
        <w:top w:val="none" w:sz="0" w:space="0" w:color="auto"/>
        <w:left w:val="none" w:sz="0" w:space="0" w:color="auto"/>
        <w:bottom w:val="none" w:sz="0" w:space="0" w:color="auto"/>
        <w:right w:val="none" w:sz="0" w:space="0" w:color="auto"/>
      </w:divBdr>
    </w:div>
    <w:div w:id="1280409282">
      <w:bodyDiv w:val="1"/>
      <w:marLeft w:val="0"/>
      <w:marRight w:val="0"/>
      <w:marTop w:val="0"/>
      <w:marBottom w:val="0"/>
      <w:divBdr>
        <w:top w:val="none" w:sz="0" w:space="0" w:color="auto"/>
        <w:left w:val="none" w:sz="0" w:space="0" w:color="auto"/>
        <w:bottom w:val="none" w:sz="0" w:space="0" w:color="auto"/>
        <w:right w:val="none" w:sz="0" w:space="0" w:color="auto"/>
      </w:divBdr>
    </w:div>
    <w:div w:id="1496067798">
      <w:bodyDiv w:val="1"/>
      <w:marLeft w:val="0"/>
      <w:marRight w:val="0"/>
      <w:marTop w:val="0"/>
      <w:marBottom w:val="0"/>
      <w:divBdr>
        <w:top w:val="none" w:sz="0" w:space="0" w:color="auto"/>
        <w:left w:val="none" w:sz="0" w:space="0" w:color="auto"/>
        <w:bottom w:val="none" w:sz="0" w:space="0" w:color="auto"/>
        <w:right w:val="none" w:sz="0" w:space="0" w:color="auto"/>
      </w:divBdr>
    </w:div>
    <w:div w:id="1598974730">
      <w:bodyDiv w:val="1"/>
      <w:marLeft w:val="0"/>
      <w:marRight w:val="0"/>
      <w:marTop w:val="0"/>
      <w:marBottom w:val="0"/>
      <w:divBdr>
        <w:top w:val="none" w:sz="0" w:space="0" w:color="auto"/>
        <w:left w:val="none" w:sz="0" w:space="0" w:color="auto"/>
        <w:bottom w:val="none" w:sz="0" w:space="0" w:color="auto"/>
        <w:right w:val="none" w:sz="0" w:space="0" w:color="auto"/>
      </w:divBdr>
    </w:div>
    <w:div w:id="1599483162">
      <w:bodyDiv w:val="1"/>
      <w:marLeft w:val="0"/>
      <w:marRight w:val="0"/>
      <w:marTop w:val="0"/>
      <w:marBottom w:val="0"/>
      <w:divBdr>
        <w:top w:val="none" w:sz="0" w:space="0" w:color="auto"/>
        <w:left w:val="none" w:sz="0" w:space="0" w:color="auto"/>
        <w:bottom w:val="none" w:sz="0" w:space="0" w:color="auto"/>
        <w:right w:val="none" w:sz="0" w:space="0" w:color="auto"/>
      </w:divBdr>
    </w:div>
    <w:div w:id="1655837981">
      <w:bodyDiv w:val="1"/>
      <w:marLeft w:val="0"/>
      <w:marRight w:val="0"/>
      <w:marTop w:val="0"/>
      <w:marBottom w:val="0"/>
      <w:divBdr>
        <w:top w:val="none" w:sz="0" w:space="0" w:color="auto"/>
        <w:left w:val="none" w:sz="0" w:space="0" w:color="auto"/>
        <w:bottom w:val="none" w:sz="0" w:space="0" w:color="auto"/>
        <w:right w:val="none" w:sz="0" w:space="0" w:color="auto"/>
      </w:divBdr>
    </w:div>
    <w:div w:id="1865483858">
      <w:bodyDiv w:val="1"/>
      <w:marLeft w:val="0"/>
      <w:marRight w:val="0"/>
      <w:marTop w:val="0"/>
      <w:marBottom w:val="0"/>
      <w:divBdr>
        <w:top w:val="none" w:sz="0" w:space="0" w:color="auto"/>
        <w:left w:val="none" w:sz="0" w:space="0" w:color="auto"/>
        <w:bottom w:val="none" w:sz="0" w:space="0" w:color="auto"/>
        <w:right w:val="none" w:sz="0" w:space="0" w:color="auto"/>
      </w:divBdr>
    </w:div>
    <w:div w:id="206074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609FFB-B4D5-41CE-9894-D8C7C6A0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4</Pages>
  <Words>644</Words>
  <Characters>3676</Characters>
  <Application>Microsoft Office Word</Application>
  <DocSecurity>0</DocSecurity>
  <Lines>30</Lines>
  <Paragraphs>8</Paragraphs>
  <ScaleCrop>false</ScaleCrop>
  <Company>ZTE</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27</cp:revision>
  <cp:lastPrinted>2017-11-10T22:24:00Z</cp:lastPrinted>
  <dcterms:created xsi:type="dcterms:W3CDTF">2023-08-09T08:15:00Z</dcterms:created>
  <dcterms:modified xsi:type="dcterms:W3CDTF">2025-03-27T11:00:00Z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